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67271" w14:textId="5DBB3C21" w:rsidR="00B7525D" w:rsidRDefault="00B7525D">
      <w:r>
        <w:rPr>
          <w:noProof/>
        </w:rPr>
        <w:drawing>
          <wp:inline distT="0" distB="0" distL="0" distR="0" wp14:anchorId="618B5F26" wp14:editId="467975FF">
            <wp:extent cx="2063750" cy="2285659"/>
            <wp:effectExtent l="0" t="0" r="0" b="635"/>
            <wp:docPr id="936199704"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199704" name="Picture 1" descr="A screenshot of a phon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072458" cy="2295303"/>
                    </a:xfrm>
                    <a:prstGeom prst="rect">
                      <a:avLst/>
                    </a:prstGeom>
                  </pic:spPr>
                </pic:pic>
              </a:graphicData>
            </a:graphic>
          </wp:inline>
        </w:drawing>
      </w:r>
    </w:p>
    <w:tbl>
      <w:tblPr>
        <w:tblStyle w:val="TableGrid"/>
        <w:tblW w:w="0" w:type="auto"/>
        <w:tblLook w:val="04A0" w:firstRow="1" w:lastRow="0" w:firstColumn="1" w:lastColumn="0" w:noHBand="0" w:noVBand="1"/>
      </w:tblPr>
      <w:tblGrid>
        <w:gridCol w:w="223"/>
        <w:gridCol w:w="222"/>
        <w:gridCol w:w="2350"/>
        <w:gridCol w:w="2315"/>
        <w:gridCol w:w="2342"/>
        <w:gridCol w:w="2011"/>
        <w:gridCol w:w="2507"/>
        <w:gridCol w:w="1978"/>
      </w:tblGrid>
      <w:tr w:rsidR="00B7525D" w:rsidRPr="00B7525D" w14:paraId="27CE5F89" w14:textId="77777777" w:rsidTr="00225DC2">
        <w:trPr>
          <w:trHeight w:val="280"/>
        </w:trPr>
        <w:tc>
          <w:tcPr>
            <w:tcW w:w="5110" w:type="dxa"/>
            <w:gridSpan w:val="4"/>
            <w:noWrap/>
            <w:hideMark/>
          </w:tcPr>
          <w:p w14:paraId="48DB6C5B" w14:textId="77777777" w:rsidR="00B7525D" w:rsidRPr="00B7525D" w:rsidRDefault="00B7525D">
            <w:pPr>
              <w:rPr>
                <w:b/>
                <w:bCs/>
              </w:rPr>
            </w:pPr>
            <w:r w:rsidRPr="00B7525D">
              <w:rPr>
                <w:b/>
                <w:bCs/>
              </w:rPr>
              <w:t xml:space="preserve">Network North Roads Resurfacing Fund - </w:t>
            </w:r>
            <w:proofErr w:type="spellStart"/>
            <w:r w:rsidRPr="00B7525D">
              <w:rPr>
                <w:b/>
                <w:bCs/>
              </w:rPr>
              <w:t>SmartSurvey</w:t>
            </w:r>
            <w:proofErr w:type="spellEnd"/>
            <w:r w:rsidRPr="00B7525D">
              <w:rPr>
                <w:b/>
                <w:bCs/>
              </w:rPr>
              <w:t xml:space="preserve"> Reporting Requirements</w:t>
            </w:r>
          </w:p>
        </w:tc>
        <w:tc>
          <w:tcPr>
            <w:tcW w:w="2342" w:type="dxa"/>
            <w:noWrap/>
            <w:hideMark/>
          </w:tcPr>
          <w:p w14:paraId="24D8C7BC" w14:textId="77777777" w:rsidR="00B7525D" w:rsidRPr="00B7525D" w:rsidRDefault="00B7525D">
            <w:pPr>
              <w:rPr>
                <w:b/>
                <w:bCs/>
              </w:rPr>
            </w:pPr>
          </w:p>
        </w:tc>
        <w:tc>
          <w:tcPr>
            <w:tcW w:w="2011" w:type="dxa"/>
            <w:noWrap/>
            <w:hideMark/>
          </w:tcPr>
          <w:p w14:paraId="2B73479F" w14:textId="77777777" w:rsidR="00B7525D" w:rsidRPr="00B7525D" w:rsidRDefault="00B7525D"/>
        </w:tc>
        <w:tc>
          <w:tcPr>
            <w:tcW w:w="2507" w:type="dxa"/>
            <w:noWrap/>
            <w:hideMark/>
          </w:tcPr>
          <w:p w14:paraId="008F6DD1" w14:textId="77777777" w:rsidR="00B7525D" w:rsidRPr="00B7525D" w:rsidRDefault="00B7525D"/>
        </w:tc>
        <w:tc>
          <w:tcPr>
            <w:tcW w:w="1978" w:type="dxa"/>
            <w:noWrap/>
            <w:hideMark/>
          </w:tcPr>
          <w:p w14:paraId="1974903E" w14:textId="77777777" w:rsidR="00B7525D" w:rsidRPr="00B7525D" w:rsidRDefault="00B7525D"/>
        </w:tc>
      </w:tr>
      <w:tr w:rsidR="00225DC2" w:rsidRPr="00B7525D" w14:paraId="3493FA70" w14:textId="77777777" w:rsidTr="00225DC2">
        <w:trPr>
          <w:trHeight w:val="280"/>
        </w:trPr>
        <w:tc>
          <w:tcPr>
            <w:tcW w:w="223" w:type="dxa"/>
            <w:noWrap/>
            <w:hideMark/>
          </w:tcPr>
          <w:p w14:paraId="3333D4EA" w14:textId="77777777" w:rsidR="00B7525D" w:rsidRPr="00B7525D" w:rsidRDefault="00B7525D"/>
        </w:tc>
        <w:tc>
          <w:tcPr>
            <w:tcW w:w="222" w:type="dxa"/>
            <w:noWrap/>
            <w:hideMark/>
          </w:tcPr>
          <w:p w14:paraId="667BD16F" w14:textId="77777777" w:rsidR="00B7525D" w:rsidRPr="00B7525D" w:rsidRDefault="00B7525D"/>
        </w:tc>
        <w:tc>
          <w:tcPr>
            <w:tcW w:w="2350" w:type="dxa"/>
            <w:noWrap/>
            <w:hideMark/>
          </w:tcPr>
          <w:p w14:paraId="371E8F44" w14:textId="77777777" w:rsidR="00B7525D" w:rsidRPr="00B7525D" w:rsidRDefault="00B7525D"/>
        </w:tc>
        <w:tc>
          <w:tcPr>
            <w:tcW w:w="2315" w:type="dxa"/>
            <w:noWrap/>
            <w:hideMark/>
          </w:tcPr>
          <w:p w14:paraId="2A6AF022" w14:textId="77777777" w:rsidR="00B7525D" w:rsidRPr="00B7525D" w:rsidRDefault="00B7525D"/>
        </w:tc>
        <w:tc>
          <w:tcPr>
            <w:tcW w:w="2342" w:type="dxa"/>
            <w:noWrap/>
            <w:hideMark/>
          </w:tcPr>
          <w:p w14:paraId="638B0651" w14:textId="77777777" w:rsidR="00B7525D" w:rsidRPr="00B7525D" w:rsidRDefault="00B7525D"/>
        </w:tc>
        <w:tc>
          <w:tcPr>
            <w:tcW w:w="2011" w:type="dxa"/>
            <w:noWrap/>
            <w:hideMark/>
          </w:tcPr>
          <w:p w14:paraId="677E3394" w14:textId="77777777" w:rsidR="00B7525D" w:rsidRPr="00B7525D" w:rsidRDefault="00B7525D"/>
        </w:tc>
        <w:tc>
          <w:tcPr>
            <w:tcW w:w="2507" w:type="dxa"/>
            <w:noWrap/>
            <w:hideMark/>
          </w:tcPr>
          <w:p w14:paraId="6F8DB304" w14:textId="77777777" w:rsidR="00B7525D" w:rsidRPr="00B7525D" w:rsidRDefault="00B7525D"/>
        </w:tc>
        <w:tc>
          <w:tcPr>
            <w:tcW w:w="1978" w:type="dxa"/>
            <w:noWrap/>
            <w:hideMark/>
          </w:tcPr>
          <w:p w14:paraId="2A19A321" w14:textId="77777777" w:rsidR="00B7525D" w:rsidRPr="00B7525D" w:rsidRDefault="00B7525D"/>
        </w:tc>
      </w:tr>
      <w:tr w:rsidR="00B7525D" w:rsidRPr="00B7525D" w14:paraId="4FD0FDC0" w14:textId="77777777" w:rsidTr="00225DC2">
        <w:trPr>
          <w:trHeight w:val="280"/>
        </w:trPr>
        <w:tc>
          <w:tcPr>
            <w:tcW w:w="223" w:type="dxa"/>
            <w:noWrap/>
            <w:hideMark/>
          </w:tcPr>
          <w:p w14:paraId="2BFB5F2C" w14:textId="77777777" w:rsidR="00B7525D" w:rsidRPr="00B7525D" w:rsidRDefault="00B7525D"/>
        </w:tc>
        <w:tc>
          <w:tcPr>
            <w:tcW w:w="222" w:type="dxa"/>
            <w:noWrap/>
            <w:hideMark/>
          </w:tcPr>
          <w:p w14:paraId="657EF592" w14:textId="77777777" w:rsidR="00B7525D" w:rsidRPr="00B7525D" w:rsidRDefault="00B7525D"/>
        </w:tc>
        <w:tc>
          <w:tcPr>
            <w:tcW w:w="11525" w:type="dxa"/>
            <w:gridSpan w:val="5"/>
            <w:noWrap/>
            <w:hideMark/>
          </w:tcPr>
          <w:p w14:paraId="529FD308" w14:textId="77777777" w:rsidR="00B7525D" w:rsidRPr="00B7525D" w:rsidRDefault="00B7525D">
            <w:r w:rsidRPr="00B7525D">
              <w:rPr>
                <w:b/>
                <w:bCs/>
              </w:rPr>
              <w:t>Note</w:t>
            </w:r>
            <w:r w:rsidRPr="00B7525D">
              <w:t>: Please add as many rows as you feel is necessary to highlight the scope and scale of the works being undertaken from Budget 2023 and Network North funding</w:t>
            </w:r>
          </w:p>
        </w:tc>
        <w:tc>
          <w:tcPr>
            <w:tcW w:w="1978" w:type="dxa"/>
            <w:noWrap/>
            <w:hideMark/>
          </w:tcPr>
          <w:p w14:paraId="586FB072" w14:textId="77777777" w:rsidR="00B7525D" w:rsidRPr="00B7525D" w:rsidRDefault="00B7525D"/>
        </w:tc>
      </w:tr>
      <w:tr w:rsidR="00225DC2" w:rsidRPr="00B7525D" w14:paraId="2139BF00" w14:textId="77777777" w:rsidTr="00225DC2">
        <w:trPr>
          <w:trHeight w:val="290"/>
        </w:trPr>
        <w:tc>
          <w:tcPr>
            <w:tcW w:w="223" w:type="dxa"/>
            <w:noWrap/>
            <w:hideMark/>
          </w:tcPr>
          <w:p w14:paraId="1FA37DA7" w14:textId="77777777" w:rsidR="00B7525D" w:rsidRPr="00B7525D" w:rsidRDefault="00B7525D"/>
        </w:tc>
        <w:tc>
          <w:tcPr>
            <w:tcW w:w="222" w:type="dxa"/>
            <w:noWrap/>
            <w:hideMark/>
          </w:tcPr>
          <w:p w14:paraId="5E182D68" w14:textId="77777777" w:rsidR="00B7525D" w:rsidRPr="00B7525D" w:rsidRDefault="00B7525D"/>
        </w:tc>
        <w:tc>
          <w:tcPr>
            <w:tcW w:w="2350" w:type="dxa"/>
            <w:noWrap/>
            <w:hideMark/>
          </w:tcPr>
          <w:p w14:paraId="6092E265" w14:textId="77777777" w:rsidR="00B7525D" w:rsidRPr="00B7525D" w:rsidRDefault="00B7525D"/>
        </w:tc>
        <w:tc>
          <w:tcPr>
            <w:tcW w:w="2315" w:type="dxa"/>
            <w:noWrap/>
            <w:hideMark/>
          </w:tcPr>
          <w:p w14:paraId="7E0420F1" w14:textId="77777777" w:rsidR="00B7525D" w:rsidRPr="00B7525D" w:rsidRDefault="00B7525D"/>
        </w:tc>
        <w:tc>
          <w:tcPr>
            <w:tcW w:w="2342" w:type="dxa"/>
            <w:noWrap/>
            <w:hideMark/>
          </w:tcPr>
          <w:p w14:paraId="7F70BF19" w14:textId="77777777" w:rsidR="00B7525D" w:rsidRPr="00B7525D" w:rsidRDefault="00B7525D"/>
        </w:tc>
        <w:tc>
          <w:tcPr>
            <w:tcW w:w="2011" w:type="dxa"/>
            <w:noWrap/>
            <w:hideMark/>
          </w:tcPr>
          <w:p w14:paraId="23602489" w14:textId="77777777" w:rsidR="00B7525D" w:rsidRPr="00B7525D" w:rsidRDefault="00B7525D"/>
        </w:tc>
        <w:tc>
          <w:tcPr>
            <w:tcW w:w="2507" w:type="dxa"/>
            <w:noWrap/>
            <w:hideMark/>
          </w:tcPr>
          <w:p w14:paraId="3A665863" w14:textId="77777777" w:rsidR="00B7525D" w:rsidRPr="00B7525D" w:rsidRDefault="00B7525D"/>
        </w:tc>
        <w:tc>
          <w:tcPr>
            <w:tcW w:w="1978" w:type="dxa"/>
            <w:noWrap/>
            <w:hideMark/>
          </w:tcPr>
          <w:p w14:paraId="0359A5C9" w14:textId="77777777" w:rsidR="00B7525D" w:rsidRPr="00B7525D" w:rsidRDefault="00B7525D"/>
        </w:tc>
      </w:tr>
      <w:tr w:rsidR="00B7525D" w:rsidRPr="00B7525D" w14:paraId="32C18745" w14:textId="77777777" w:rsidTr="00225DC2">
        <w:trPr>
          <w:trHeight w:val="300"/>
        </w:trPr>
        <w:tc>
          <w:tcPr>
            <w:tcW w:w="223" w:type="dxa"/>
            <w:noWrap/>
            <w:hideMark/>
          </w:tcPr>
          <w:p w14:paraId="3F613892" w14:textId="77777777" w:rsidR="00B7525D" w:rsidRPr="00B7525D" w:rsidRDefault="00B7525D"/>
        </w:tc>
        <w:tc>
          <w:tcPr>
            <w:tcW w:w="222" w:type="dxa"/>
            <w:noWrap/>
            <w:hideMark/>
          </w:tcPr>
          <w:p w14:paraId="0FC3FD27" w14:textId="77777777" w:rsidR="00B7525D" w:rsidRPr="00B7525D" w:rsidRDefault="00B7525D"/>
        </w:tc>
        <w:tc>
          <w:tcPr>
            <w:tcW w:w="11525" w:type="dxa"/>
            <w:gridSpan w:val="5"/>
            <w:hideMark/>
          </w:tcPr>
          <w:p w14:paraId="6CD378EA" w14:textId="77777777" w:rsidR="00B7525D" w:rsidRPr="00B7525D" w:rsidRDefault="00B7525D">
            <w:pPr>
              <w:rPr>
                <w:b/>
                <w:bCs/>
              </w:rPr>
            </w:pPr>
            <w:r w:rsidRPr="00B7525D">
              <w:rPr>
                <w:b/>
                <w:bCs/>
              </w:rPr>
              <w:t>Local Authority Name: South Tyneside</w:t>
            </w:r>
          </w:p>
        </w:tc>
        <w:tc>
          <w:tcPr>
            <w:tcW w:w="1978" w:type="dxa"/>
            <w:noWrap/>
            <w:hideMark/>
          </w:tcPr>
          <w:p w14:paraId="07D2883F" w14:textId="77777777" w:rsidR="00B7525D" w:rsidRPr="00B7525D" w:rsidRDefault="00B7525D">
            <w:pPr>
              <w:rPr>
                <w:b/>
                <w:bCs/>
              </w:rPr>
            </w:pPr>
          </w:p>
        </w:tc>
      </w:tr>
      <w:tr w:rsidR="00225DC2" w:rsidRPr="00B7525D" w14:paraId="5E53C5C2" w14:textId="77777777" w:rsidTr="00225DC2">
        <w:trPr>
          <w:trHeight w:val="290"/>
        </w:trPr>
        <w:tc>
          <w:tcPr>
            <w:tcW w:w="223" w:type="dxa"/>
            <w:noWrap/>
            <w:hideMark/>
          </w:tcPr>
          <w:p w14:paraId="456F2640" w14:textId="77777777" w:rsidR="00B7525D" w:rsidRPr="00B7525D" w:rsidRDefault="00B7525D"/>
        </w:tc>
        <w:tc>
          <w:tcPr>
            <w:tcW w:w="222" w:type="dxa"/>
            <w:noWrap/>
            <w:hideMark/>
          </w:tcPr>
          <w:p w14:paraId="541B4A54" w14:textId="77777777" w:rsidR="00B7525D" w:rsidRPr="00B7525D" w:rsidRDefault="00B7525D"/>
        </w:tc>
        <w:tc>
          <w:tcPr>
            <w:tcW w:w="2350" w:type="dxa"/>
            <w:noWrap/>
            <w:hideMark/>
          </w:tcPr>
          <w:p w14:paraId="35FF53A1" w14:textId="77777777" w:rsidR="00B7525D" w:rsidRPr="00B7525D" w:rsidRDefault="00B7525D"/>
        </w:tc>
        <w:tc>
          <w:tcPr>
            <w:tcW w:w="2315" w:type="dxa"/>
            <w:noWrap/>
            <w:hideMark/>
          </w:tcPr>
          <w:p w14:paraId="1F381C89" w14:textId="77777777" w:rsidR="00B7525D" w:rsidRPr="00B7525D" w:rsidRDefault="00B7525D"/>
        </w:tc>
        <w:tc>
          <w:tcPr>
            <w:tcW w:w="2342" w:type="dxa"/>
            <w:noWrap/>
            <w:hideMark/>
          </w:tcPr>
          <w:p w14:paraId="46AB6D77" w14:textId="77777777" w:rsidR="00B7525D" w:rsidRPr="00B7525D" w:rsidRDefault="00B7525D"/>
        </w:tc>
        <w:tc>
          <w:tcPr>
            <w:tcW w:w="2011" w:type="dxa"/>
            <w:noWrap/>
            <w:hideMark/>
          </w:tcPr>
          <w:p w14:paraId="399342D3" w14:textId="77777777" w:rsidR="00B7525D" w:rsidRPr="00B7525D" w:rsidRDefault="00B7525D"/>
        </w:tc>
        <w:tc>
          <w:tcPr>
            <w:tcW w:w="2507" w:type="dxa"/>
            <w:noWrap/>
            <w:hideMark/>
          </w:tcPr>
          <w:p w14:paraId="61777543" w14:textId="77777777" w:rsidR="00B7525D" w:rsidRPr="00B7525D" w:rsidRDefault="00B7525D"/>
        </w:tc>
        <w:tc>
          <w:tcPr>
            <w:tcW w:w="1978" w:type="dxa"/>
            <w:noWrap/>
            <w:hideMark/>
          </w:tcPr>
          <w:p w14:paraId="3EDA78A9" w14:textId="77777777" w:rsidR="00B7525D" w:rsidRPr="00B7525D" w:rsidRDefault="00B7525D"/>
        </w:tc>
      </w:tr>
      <w:tr w:rsidR="00225DC2" w:rsidRPr="00B7525D" w14:paraId="294A9465" w14:textId="77777777" w:rsidTr="00225DC2">
        <w:trPr>
          <w:trHeight w:val="1012"/>
        </w:trPr>
        <w:tc>
          <w:tcPr>
            <w:tcW w:w="223" w:type="dxa"/>
            <w:noWrap/>
            <w:hideMark/>
          </w:tcPr>
          <w:p w14:paraId="4ED67F90" w14:textId="77777777" w:rsidR="00B7525D" w:rsidRPr="00B7525D" w:rsidRDefault="00B7525D"/>
        </w:tc>
        <w:tc>
          <w:tcPr>
            <w:tcW w:w="222" w:type="dxa"/>
            <w:noWrap/>
            <w:hideMark/>
          </w:tcPr>
          <w:p w14:paraId="15E89A39" w14:textId="77777777" w:rsidR="00B7525D" w:rsidRPr="00B7525D" w:rsidRDefault="00B7525D"/>
        </w:tc>
        <w:tc>
          <w:tcPr>
            <w:tcW w:w="2350" w:type="dxa"/>
            <w:hideMark/>
          </w:tcPr>
          <w:p w14:paraId="17712732" w14:textId="77777777" w:rsidR="00B7525D" w:rsidRPr="00B7525D" w:rsidRDefault="00B7525D">
            <w:pPr>
              <w:rPr>
                <w:b/>
                <w:bCs/>
              </w:rPr>
            </w:pPr>
            <w:r w:rsidRPr="00B7525D">
              <w:rPr>
                <w:b/>
                <w:bCs/>
              </w:rPr>
              <w:t>Areas / roads where work is planned</w:t>
            </w:r>
          </w:p>
        </w:tc>
        <w:tc>
          <w:tcPr>
            <w:tcW w:w="2315" w:type="dxa"/>
            <w:hideMark/>
          </w:tcPr>
          <w:p w14:paraId="6AF95C43" w14:textId="06D9491D" w:rsidR="00B7525D" w:rsidRPr="00B7525D" w:rsidRDefault="00B7525D">
            <w:pPr>
              <w:rPr>
                <w:b/>
                <w:bCs/>
              </w:rPr>
            </w:pPr>
            <w:r w:rsidRPr="00B7525D">
              <w:rPr>
                <w:b/>
                <w:bCs/>
              </w:rPr>
              <w:t xml:space="preserve"> Type of works being undertaken on asset group </w:t>
            </w:r>
          </w:p>
        </w:tc>
        <w:tc>
          <w:tcPr>
            <w:tcW w:w="2342" w:type="dxa"/>
            <w:hideMark/>
          </w:tcPr>
          <w:p w14:paraId="7B5571E5" w14:textId="77777777" w:rsidR="00B7525D" w:rsidRPr="00B7525D" w:rsidRDefault="00B7525D">
            <w:pPr>
              <w:rPr>
                <w:b/>
                <w:bCs/>
              </w:rPr>
            </w:pPr>
            <w:r w:rsidRPr="00B7525D">
              <w:rPr>
                <w:b/>
                <w:bCs/>
              </w:rPr>
              <w:t>Indicative cost</w:t>
            </w:r>
          </w:p>
        </w:tc>
        <w:tc>
          <w:tcPr>
            <w:tcW w:w="2011" w:type="dxa"/>
            <w:hideMark/>
          </w:tcPr>
          <w:p w14:paraId="17FF4C44" w14:textId="77777777" w:rsidR="00B7525D" w:rsidRPr="00B7525D" w:rsidRDefault="00B7525D">
            <w:pPr>
              <w:rPr>
                <w:b/>
                <w:bCs/>
              </w:rPr>
            </w:pPr>
            <w:r w:rsidRPr="00B7525D">
              <w:rPr>
                <w:b/>
                <w:bCs/>
              </w:rPr>
              <w:t xml:space="preserve">Surface area resurfaced (if applicable) m2 </w:t>
            </w:r>
          </w:p>
        </w:tc>
        <w:tc>
          <w:tcPr>
            <w:tcW w:w="2507" w:type="dxa"/>
            <w:hideMark/>
          </w:tcPr>
          <w:p w14:paraId="381D79BC" w14:textId="77777777" w:rsidR="00B7525D" w:rsidRPr="00B7525D" w:rsidRDefault="00B7525D">
            <w:pPr>
              <w:rPr>
                <w:b/>
                <w:bCs/>
              </w:rPr>
            </w:pPr>
            <w:r w:rsidRPr="00B7525D">
              <w:rPr>
                <w:b/>
                <w:bCs/>
              </w:rPr>
              <w:t>Benefits from it (</w:t>
            </w:r>
            <w:proofErr w:type="spellStart"/>
            <w:r w:rsidRPr="00B7525D">
              <w:rPr>
                <w:b/>
                <w:bCs/>
              </w:rPr>
              <w:t>eg</w:t>
            </w:r>
            <w:proofErr w:type="spellEnd"/>
            <w:r w:rsidRPr="00B7525D">
              <w:rPr>
                <w:b/>
                <w:bCs/>
              </w:rPr>
              <w:t>: improved journey times etc)</w:t>
            </w:r>
          </w:p>
        </w:tc>
        <w:tc>
          <w:tcPr>
            <w:tcW w:w="1978" w:type="dxa"/>
            <w:hideMark/>
          </w:tcPr>
          <w:p w14:paraId="5DD40181" w14:textId="77777777" w:rsidR="00B7525D" w:rsidRPr="00B7525D" w:rsidRDefault="00B7525D">
            <w:pPr>
              <w:rPr>
                <w:b/>
                <w:bCs/>
              </w:rPr>
            </w:pPr>
            <w:r w:rsidRPr="00B7525D">
              <w:rPr>
                <w:b/>
                <w:bCs/>
              </w:rPr>
              <w:t>Quarterly Update</w:t>
            </w:r>
          </w:p>
        </w:tc>
      </w:tr>
      <w:tr w:rsidR="00B7525D" w:rsidRPr="00B7525D" w14:paraId="28AE58FF" w14:textId="77777777" w:rsidTr="00225DC2">
        <w:trPr>
          <w:trHeight w:val="290"/>
        </w:trPr>
        <w:tc>
          <w:tcPr>
            <w:tcW w:w="223" w:type="dxa"/>
            <w:noWrap/>
            <w:hideMark/>
          </w:tcPr>
          <w:p w14:paraId="2D2BBB10" w14:textId="77777777" w:rsidR="00B7525D" w:rsidRPr="00B7525D" w:rsidRDefault="00B7525D">
            <w:pPr>
              <w:rPr>
                <w:b/>
                <w:bCs/>
              </w:rPr>
            </w:pPr>
          </w:p>
        </w:tc>
        <w:tc>
          <w:tcPr>
            <w:tcW w:w="222" w:type="dxa"/>
            <w:noWrap/>
            <w:hideMark/>
          </w:tcPr>
          <w:p w14:paraId="01B41C86" w14:textId="77777777" w:rsidR="00B7525D" w:rsidRPr="00B7525D" w:rsidRDefault="00B7525D"/>
        </w:tc>
        <w:tc>
          <w:tcPr>
            <w:tcW w:w="2350" w:type="dxa"/>
            <w:hideMark/>
          </w:tcPr>
          <w:p w14:paraId="75B6EDA2" w14:textId="77777777" w:rsidR="00B7525D" w:rsidRPr="00BE564F" w:rsidRDefault="00B7525D">
            <w:pPr>
              <w:rPr>
                <w:b/>
                <w:bCs/>
                <w:sz w:val="20"/>
                <w:szCs w:val="20"/>
              </w:rPr>
            </w:pPr>
            <w:r w:rsidRPr="00BE564F">
              <w:rPr>
                <w:b/>
                <w:bCs/>
                <w:sz w:val="20"/>
                <w:szCs w:val="20"/>
              </w:rPr>
              <w:t>River Drive, South Shields</w:t>
            </w:r>
          </w:p>
        </w:tc>
        <w:tc>
          <w:tcPr>
            <w:tcW w:w="2315" w:type="dxa"/>
            <w:hideMark/>
          </w:tcPr>
          <w:p w14:paraId="05C75F76" w14:textId="77777777" w:rsidR="00B7525D" w:rsidRPr="00BE564F" w:rsidRDefault="00B7525D">
            <w:pPr>
              <w:rPr>
                <w:b/>
                <w:bCs/>
                <w:sz w:val="20"/>
                <w:szCs w:val="20"/>
              </w:rPr>
            </w:pPr>
            <w:r w:rsidRPr="00BE564F">
              <w:rPr>
                <w:b/>
                <w:bCs/>
                <w:sz w:val="20"/>
                <w:szCs w:val="20"/>
              </w:rPr>
              <w:t xml:space="preserve">Carriageway resurfacing </w:t>
            </w:r>
          </w:p>
        </w:tc>
        <w:tc>
          <w:tcPr>
            <w:tcW w:w="2342" w:type="dxa"/>
            <w:hideMark/>
          </w:tcPr>
          <w:p w14:paraId="4CA5E2CB" w14:textId="77777777" w:rsidR="00B7525D" w:rsidRPr="00BE564F" w:rsidRDefault="00B7525D" w:rsidP="00B7525D">
            <w:pPr>
              <w:rPr>
                <w:b/>
                <w:bCs/>
                <w:sz w:val="20"/>
                <w:szCs w:val="20"/>
              </w:rPr>
            </w:pPr>
            <w:r w:rsidRPr="00BE564F">
              <w:rPr>
                <w:b/>
                <w:bCs/>
                <w:sz w:val="20"/>
                <w:szCs w:val="20"/>
              </w:rPr>
              <w:t>£365,000</w:t>
            </w:r>
          </w:p>
        </w:tc>
        <w:tc>
          <w:tcPr>
            <w:tcW w:w="2011" w:type="dxa"/>
            <w:hideMark/>
          </w:tcPr>
          <w:p w14:paraId="12FA770A" w14:textId="77777777" w:rsidR="00B7525D" w:rsidRPr="00BE564F" w:rsidRDefault="00B7525D" w:rsidP="00B7525D">
            <w:pPr>
              <w:rPr>
                <w:b/>
                <w:bCs/>
                <w:sz w:val="20"/>
                <w:szCs w:val="20"/>
              </w:rPr>
            </w:pPr>
            <w:r w:rsidRPr="00BE564F">
              <w:rPr>
                <w:b/>
                <w:bCs/>
                <w:sz w:val="20"/>
                <w:szCs w:val="20"/>
              </w:rPr>
              <w:t>6000</w:t>
            </w:r>
          </w:p>
        </w:tc>
        <w:tc>
          <w:tcPr>
            <w:tcW w:w="2507" w:type="dxa"/>
            <w:hideMark/>
          </w:tcPr>
          <w:p w14:paraId="2DB586B0" w14:textId="77777777" w:rsidR="00B7525D" w:rsidRPr="00BE564F" w:rsidRDefault="00B7525D">
            <w:pPr>
              <w:rPr>
                <w:b/>
                <w:bCs/>
                <w:sz w:val="20"/>
                <w:szCs w:val="20"/>
              </w:rPr>
            </w:pPr>
            <w:r w:rsidRPr="00BE564F">
              <w:rPr>
                <w:b/>
                <w:bCs/>
                <w:sz w:val="20"/>
                <w:szCs w:val="20"/>
              </w:rPr>
              <w:t>Improving connections to jobs</w:t>
            </w:r>
          </w:p>
        </w:tc>
        <w:tc>
          <w:tcPr>
            <w:tcW w:w="1978" w:type="dxa"/>
            <w:noWrap/>
            <w:hideMark/>
          </w:tcPr>
          <w:p w14:paraId="27FCCF6D" w14:textId="77777777" w:rsidR="00B7525D" w:rsidRPr="00BE564F" w:rsidRDefault="00B7525D">
            <w:pPr>
              <w:rPr>
                <w:sz w:val="20"/>
                <w:szCs w:val="20"/>
              </w:rPr>
            </w:pPr>
            <w:r w:rsidRPr="00BE564F">
              <w:rPr>
                <w:sz w:val="20"/>
                <w:szCs w:val="20"/>
              </w:rPr>
              <w:t>Complete Q1</w:t>
            </w:r>
          </w:p>
        </w:tc>
      </w:tr>
      <w:tr w:rsidR="00225DC2" w:rsidRPr="00B7525D" w14:paraId="6E584176" w14:textId="77777777" w:rsidTr="00225DC2">
        <w:trPr>
          <w:trHeight w:val="290"/>
        </w:trPr>
        <w:tc>
          <w:tcPr>
            <w:tcW w:w="223" w:type="dxa"/>
            <w:noWrap/>
            <w:hideMark/>
          </w:tcPr>
          <w:p w14:paraId="439904A8" w14:textId="77777777" w:rsidR="00B7525D" w:rsidRPr="00B7525D" w:rsidRDefault="00B7525D"/>
        </w:tc>
        <w:tc>
          <w:tcPr>
            <w:tcW w:w="222" w:type="dxa"/>
            <w:noWrap/>
            <w:hideMark/>
          </w:tcPr>
          <w:p w14:paraId="60546896" w14:textId="77777777" w:rsidR="00B7525D" w:rsidRPr="00B7525D" w:rsidRDefault="00B7525D"/>
        </w:tc>
        <w:tc>
          <w:tcPr>
            <w:tcW w:w="2350" w:type="dxa"/>
            <w:hideMark/>
          </w:tcPr>
          <w:p w14:paraId="213D2E3E" w14:textId="77777777" w:rsidR="00B7525D" w:rsidRPr="00BE564F" w:rsidRDefault="00B7525D">
            <w:pPr>
              <w:rPr>
                <w:b/>
                <w:bCs/>
                <w:sz w:val="20"/>
                <w:szCs w:val="20"/>
              </w:rPr>
            </w:pPr>
            <w:r w:rsidRPr="00BE564F">
              <w:rPr>
                <w:b/>
                <w:bCs/>
                <w:sz w:val="20"/>
                <w:szCs w:val="20"/>
              </w:rPr>
              <w:t> </w:t>
            </w:r>
          </w:p>
        </w:tc>
        <w:tc>
          <w:tcPr>
            <w:tcW w:w="2315" w:type="dxa"/>
            <w:hideMark/>
          </w:tcPr>
          <w:p w14:paraId="4323BBA4" w14:textId="77777777" w:rsidR="00B7525D" w:rsidRPr="00BE564F" w:rsidRDefault="00B7525D">
            <w:pPr>
              <w:rPr>
                <w:b/>
                <w:bCs/>
                <w:sz w:val="20"/>
                <w:szCs w:val="20"/>
              </w:rPr>
            </w:pPr>
            <w:r w:rsidRPr="00BE564F">
              <w:rPr>
                <w:b/>
                <w:bCs/>
                <w:sz w:val="20"/>
                <w:szCs w:val="20"/>
              </w:rPr>
              <w:t> </w:t>
            </w:r>
          </w:p>
        </w:tc>
        <w:tc>
          <w:tcPr>
            <w:tcW w:w="2342" w:type="dxa"/>
            <w:hideMark/>
          </w:tcPr>
          <w:p w14:paraId="4CE2687B" w14:textId="77777777" w:rsidR="00B7525D" w:rsidRPr="00BE564F" w:rsidRDefault="00B7525D">
            <w:pPr>
              <w:rPr>
                <w:b/>
                <w:bCs/>
                <w:sz w:val="20"/>
                <w:szCs w:val="20"/>
              </w:rPr>
            </w:pPr>
            <w:r w:rsidRPr="00BE564F">
              <w:rPr>
                <w:b/>
                <w:bCs/>
                <w:sz w:val="20"/>
                <w:szCs w:val="20"/>
              </w:rPr>
              <w:t> </w:t>
            </w:r>
          </w:p>
        </w:tc>
        <w:tc>
          <w:tcPr>
            <w:tcW w:w="2011" w:type="dxa"/>
            <w:hideMark/>
          </w:tcPr>
          <w:p w14:paraId="24CF11B9" w14:textId="77777777" w:rsidR="00B7525D" w:rsidRPr="00BE564F" w:rsidRDefault="00B7525D">
            <w:pPr>
              <w:rPr>
                <w:b/>
                <w:bCs/>
                <w:sz w:val="20"/>
                <w:szCs w:val="20"/>
              </w:rPr>
            </w:pPr>
            <w:r w:rsidRPr="00BE564F">
              <w:rPr>
                <w:b/>
                <w:bCs/>
                <w:sz w:val="20"/>
                <w:szCs w:val="20"/>
              </w:rPr>
              <w:t> </w:t>
            </w:r>
          </w:p>
        </w:tc>
        <w:tc>
          <w:tcPr>
            <w:tcW w:w="2507" w:type="dxa"/>
            <w:hideMark/>
          </w:tcPr>
          <w:p w14:paraId="36E7B448" w14:textId="77777777" w:rsidR="00B7525D" w:rsidRPr="00BE564F" w:rsidRDefault="00B7525D">
            <w:pPr>
              <w:rPr>
                <w:b/>
                <w:bCs/>
                <w:sz w:val="20"/>
                <w:szCs w:val="20"/>
              </w:rPr>
            </w:pPr>
            <w:r w:rsidRPr="00BE564F">
              <w:rPr>
                <w:b/>
                <w:bCs/>
                <w:sz w:val="20"/>
                <w:szCs w:val="20"/>
              </w:rPr>
              <w:t>Part of strong communities</w:t>
            </w:r>
          </w:p>
        </w:tc>
        <w:tc>
          <w:tcPr>
            <w:tcW w:w="1978" w:type="dxa"/>
            <w:noWrap/>
            <w:hideMark/>
          </w:tcPr>
          <w:p w14:paraId="71FC1255" w14:textId="77777777" w:rsidR="00B7525D" w:rsidRPr="00BE564F" w:rsidRDefault="00B7525D">
            <w:pPr>
              <w:rPr>
                <w:sz w:val="20"/>
                <w:szCs w:val="20"/>
              </w:rPr>
            </w:pPr>
            <w:r w:rsidRPr="00BE564F">
              <w:rPr>
                <w:sz w:val="20"/>
                <w:szCs w:val="20"/>
              </w:rPr>
              <w:t> </w:t>
            </w:r>
          </w:p>
        </w:tc>
      </w:tr>
      <w:tr w:rsidR="00225DC2" w:rsidRPr="00B7525D" w14:paraId="4DBF4732" w14:textId="77777777" w:rsidTr="00225DC2">
        <w:trPr>
          <w:trHeight w:val="290"/>
        </w:trPr>
        <w:tc>
          <w:tcPr>
            <w:tcW w:w="223" w:type="dxa"/>
            <w:noWrap/>
            <w:hideMark/>
          </w:tcPr>
          <w:p w14:paraId="4AD42C00" w14:textId="77777777" w:rsidR="00B7525D" w:rsidRPr="00B7525D" w:rsidRDefault="00B7525D"/>
        </w:tc>
        <w:tc>
          <w:tcPr>
            <w:tcW w:w="222" w:type="dxa"/>
            <w:noWrap/>
            <w:hideMark/>
          </w:tcPr>
          <w:p w14:paraId="48A8D7A3" w14:textId="77777777" w:rsidR="00B7525D" w:rsidRPr="00B7525D" w:rsidRDefault="00B7525D"/>
        </w:tc>
        <w:tc>
          <w:tcPr>
            <w:tcW w:w="2350" w:type="dxa"/>
            <w:hideMark/>
          </w:tcPr>
          <w:p w14:paraId="106567AD" w14:textId="77777777" w:rsidR="00B7525D" w:rsidRPr="00B7525D" w:rsidRDefault="00B7525D">
            <w:pPr>
              <w:rPr>
                <w:b/>
                <w:bCs/>
              </w:rPr>
            </w:pPr>
            <w:r w:rsidRPr="00B7525D">
              <w:rPr>
                <w:b/>
                <w:bCs/>
              </w:rPr>
              <w:t> </w:t>
            </w:r>
          </w:p>
        </w:tc>
        <w:tc>
          <w:tcPr>
            <w:tcW w:w="2315" w:type="dxa"/>
            <w:hideMark/>
          </w:tcPr>
          <w:p w14:paraId="1D471B10" w14:textId="77777777" w:rsidR="00B7525D" w:rsidRPr="00B7525D" w:rsidRDefault="00B7525D">
            <w:pPr>
              <w:rPr>
                <w:b/>
                <w:bCs/>
              </w:rPr>
            </w:pPr>
            <w:r w:rsidRPr="00B7525D">
              <w:rPr>
                <w:b/>
                <w:bCs/>
              </w:rPr>
              <w:t> </w:t>
            </w:r>
          </w:p>
        </w:tc>
        <w:tc>
          <w:tcPr>
            <w:tcW w:w="2342" w:type="dxa"/>
            <w:hideMark/>
          </w:tcPr>
          <w:p w14:paraId="4BE5E5AA" w14:textId="77777777" w:rsidR="00B7525D" w:rsidRPr="00B7525D" w:rsidRDefault="00B7525D">
            <w:pPr>
              <w:rPr>
                <w:b/>
                <w:bCs/>
              </w:rPr>
            </w:pPr>
            <w:r w:rsidRPr="00B7525D">
              <w:rPr>
                <w:b/>
                <w:bCs/>
              </w:rPr>
              <w:t> </w:t>
            </w:r>
          </w:p>
        </w:tc>
        <w:tc>
          <w:tcPr>
            <w:tcW w:w="2011" w:type="dxa"/>
            <w:hideMark/>
          </w:tcPr>
          <w:p w14:paraId="4DA89515" w14:textId="77777777" w:rsidR="00B7525D" w:rsidRPr="00B7525D" w:rsidRDefault="00B7525D">
            <w:pPr>
              <w:rPr>
                <w:b/>
                <w:bCs/>
              </w:rPr>
            </w:pPr>
            <w:r w:rsidRPr="00B7525D">
              <w:rPr>
                <w:b/>
                <w:bCs/>
              </w:rPr>
              <w:t> </w:t>
            </w:r>
          </w:p>
        </w:tc>
        <w:tc>
          <w:tcPr>
            <w:tcW w:w="2507" w:type="dxa"/>
            <w:hideMark/>
          </w:tcPr>
          <w:p w14:paraId="576C16CD" w14:textId="77777777" w:rsidR="00B7525D" w:rsidRPr="00B7525D" w:rsidRDefault="00B7525D">
            <w:pPr>
              <w:rPr>
                <w:b/>
                <w:bCs/>
              </w:rPr>
            </w:pPr>
            <w:r w:rsidRPr="00B7525D">
              <w:rPr>
                <w:b/>
                <w:bCs/>
              </w:rPr>
              <w:t> </w:t>
            </w:r>
          </w:p>
        </w:tc>
        <w:tc>
          <w:tcPr>
            <w:tcW w:w="1978" w:type="dxa"/>
            <w:noWrap/>
            <w:hideMark/>
          </w:tcPr>
          <w:p w14:paraId="68B39DF2" w14:textId="77777777" w:rsidR="00B7525D" w:rsidRPr="00B7525D" w:rsidRDefault="00B7525D">
            <w:r w:rsidRPr="00B7525D">
              <w:t> </w:t>
            </w:r>
          </w:p>
        </w:tc>
      </w:tr>
      <w:tr w:rsidR="00225DC2" w:rsidRPr="00B7525D" w14:paraId="7E46B2C3" w14:textId="77777777" w:rsidTr="00225DC2">
        <w:trPr>
          <w:trHeight w:val="290"/>
        </w:trPr>
        <w:tc>
          <w:tcPr>
            <w:tcW w:w="223" w:type="dxa"/>
            <w:noWrap/>
            <w:hideMark/>
          </w:tcPr>
          <w:p w14:paraId="3E1B33CA" w14:textId="77777777" w:rsidR="00B7525D" w:rsidRPr="00B7525D" w:rsidRDefault="00B7525D"/>
        </w:tc>
        <w:tc>
          <w:tcPr>
            <w:tcW w:w="222" w:type="dxa"/>
            <w:noWrap/>
            <w:hideMark/>
          </w:tcPr>
          <w:p w14:paraId="349E9211" w14:textId="77777777" w:rsidR="00B7525D" w:rsidRPr="00B7525D" w:rsidRDefault="00B7525D"/>
        </w:tc>
        <w:tc>
          <w:tcPr>
            <w:tcW w:w="2350" w:type="dxa"/>
            <w:hideMark/>
          </w:tcPr>
          <w:p w14:paraId="42566D2B" w14:textId="77777777" w:rsidR="00B7525D" w:rsidRPr="00BE564F" w:rsidRDefault="00B7525D">
            <w:pPr>
              <w:rPr>
                <w:b/>
                <w:bCs/>
                <w:sz w:val="20"/>
                <w:szCs w:val="20"/>
              </w:rPr>
            </w:pPr>
            <w:r w:rsidRPr="00BE564F">
              <w:rPr>
                <w:b/>
                <w:bCs/>
                <w:sz w:val="20"/>
                <w:szCs w:val="20"/>
              </w:rPr>
              <w:t>Perth Ave; South Shields</w:t>
            </w:r>
          </w:p>
        </w:tc>
        <w:tc>
          <w:tcPr>
            <w:tcW w:w="2315" w:type="dxa"/>
            <w:hideMark/>
          </w:tcPr>
          <w:p w14:paraId="08A6E00B" w14:textId="77777777" w:rsidR="00B7525D" w:rsidRPr="00BE564F" w:rsidRDefault="00B7525D">
            <w:pPr>
              <w:rPr>
                <w:b/>
                <w:bCs/>
                <w:sz w:val="20"/>
                <w:szCs w:val="20"/>
              </w:rPr>
            </w:pPr>
            <w:r w:rsidRPr="00BE564F">
              <w:rPr>
                <w:b/>
                <w:bCs/>
                <w:sz w:val="20"/>
                <w:szCs w:val="20"/>
              </w:rPr>
              <w:t xml:space="preserve">Carriageway resurfacing </w:t>
            </w:r>
          </w:p>
        </w:tc>
        <w:tc>
          <w:tcPr>
            <w:tcW w:w="2342" w:type="dxa"/>
            <w:hideMark/>
          </w:tcPr>
          <w:p w14:paraId="04EDBC2C" w14:textId="77777777" w:rsidR="00B7525D" w:rsidRPr="00BE564F" w:rsidRDefault="00B7525D" w:rsidP="00B7525D">
            <w:pPr>
              <w:rPr>
                <w:b/>
                <w:bCs/>
                <w:sz w:val="20"/>
                <w:szCs w:val="20"/>
              </w:rPr>
            </w:pPr>
            <w:r w:rsidRPr="00BE564F">
              <w:rPr>
                <w:b/>
                <w:bCs/>
                <w:sz w:val="20"/>
                <w:szCs w:val="20"/>
              </w:rPr>
              <w:t>£140,000</w:t>
            </w:r>
          </w:p>
        </w:tc>
        <w:tc>
          <w:tcPr>
            <w:tcW w:w="2011" w:type="dxa"/>
            <w:hideMark/>
          </w:tcPr>
          <w:p w14:paraId="2F58A3F9" w14:textId="77777777" w:rsidR="00B7525D" w:rsidRPr="00BE564F" w:rsidRDefault="00B7525D" w:rsidP="00B7525D">
            <w:pPr>
              <w:rPr>
                <w:b/>
                <w:bCs/>
                <w:sz w:val="20"/>
                <w:szCs w:val="20"/>
              </w:rPr>
            </w:pPr>
            <w:r w:rsidRPr="00BE564F">
              <w:rPr>
                <w:b/>
                <w:bCs/>
                <w:sz w:val="20"/>
                <w:szCs w:val="20"/>
              </w:rPr>
              <w:t>1500</w:t>
            </w:r>
          </w:p>
        </w:tc>
        <w:tc>
          <w:tcPr>
            <w:tcW w:w="2507" w:type="dxa"/>
            <w:hideMark/>
          </w:tcPr>
          <w:p w14:paraId="769765F0" w14:textId="77777777" w:rsidR="00B7525D" w:rsidRPr="00BE564F" w:rsidRDefault="00B7525D">
            <w:pPr>
              <w:rPr>
                <w:b/>
                <w:bCs/>
                <w:sz w:val="20"/>
                <w:szCs w:val="20"/>
              </w:rPr>
            </w:pPr>
            <w:r w:rsidRPr="00BE564F">
              <w:rPr>
                <w:b/>
                <w:bCs/>
                <w:sz w:val="20"/>
                <w:szCs w:val="20"/>
              </w:rPr>
              <w:t>Improving connections to jobs</w:t>
            </w:r>
          </w:p>
        </w:tc>
        <w:tc>
          <w:tcPr>
            <w:tcW w:w="1978" w:type="dxa"/>
            <w:noWrap/>
            <w:hideMark/>
          </w:tcPr>
          <w:p w14:paraId="292EAA44" w14:textId="0233F6E9" w:rsidR="00B7525D" w:rsidRPr="00BE564F" w:rsidRDefault="00B7525D">
            <w:pPr>
              <w:rPr>
                <w:sz w:val="20"/>
                <w:szCs w:val="20"/>
              </w:rPr>
            </w:pPr>
            <w:r w:rsidRPr="00BE564F">
              <w:rPr>
                <w:sz w:val="20"/>
                <w:szCs w:val="20"/>
              </w:rPr>
              <w:t> To be programmed</w:t>
            </w:r>
          </w:p>
        </w:tc>
      </w:tr>
      <w:tr w:rsidR="00225DC2" w:rsidRPr="00B7525D" w14:paraId="67351301" w14:textId="77777777" w:rsidTr="00225DC2">
        <w:trPr>
          <w:trHeight w:val="290"/>
        </w:trPr>
        <w:tc>
          <w:tcPr>
            <w:tcW w:w="223" w:type="dxa"/>
            <w:noWrap/>
            <w:hideMark/>
          </w:tcPr>
          <w:p w14:paraId="7944EEA7" w14:textId="77777777" w:rsidR="00B7525D" w:rsidRPr="00B7525D" w:rsidRDefault="00B7525D"/>
        </w:tc>
        <w:tc>
          <w:tcPr>
            <w:tcW w:w="222" w:type="dxa"/>
            <w:noWrap/>
            <w:hideMark/>
          </w:tcPr>
          <w:p w14:paraId="64847AC5" w14:textId="77777777" w:rsidR="00B7525D" w:rsidRPr="00B7525D" w:rsidRDefault="00B7525D"/>
        </w:tc>
        <w:tc>
          <w:tcPr>
            <w:tcW w:w="2350" w:type="dxa"/>
            <w:hideMark/>
          </w:tcPr>
          <w:p w14:paraId="4966CC61" w14:textId="77777777" w:rsidR="00B7525D" w:rsidRPr="00BE564F" w:rsidRDefault="00B7525D">
            <w:pPr>
              <w:rPr>
                <w:b/>
                <w:bCs/>
                <w:sz w:val="20"/>
                <w:szCs w:val="20"/>
              </w:rPr>
            </w:pPr>
            <w:r w:rsidRPr="00BE564F">
              <w:rPr>
                <w:b/>
                <w:bCs/>
                <w:sz w:val="20"/>
                <w:szCs w:val="20"/>
              </w:rPr>
              <w:t> </w:t>
            </w:r>
          </w:p>
        </w:tc>
        <w:tc>
          <w:tcPr>
            <w:tcW w:w="2315" w:type="dxa"/>
            <w:hideMark/>
          </w:tcPr>
          <w:p w14:paraId="07BB85E6" w14:textId="77777777" w:rsidR="00B7525D" w:rsidRPr="00BE564F" w:rsidRDefault="00B7525D">
            <w:pPr>
              <w:rPr>
                <w:b/>
                <w:bCs/>
                <w:sz w:val="20"/>
                <w:szCs w:val="20"/>
              </w:rPr>
            </w:pPr>
            <w:r w:rsidRPr="00BE564F">
              <w:rPr>
                <w:b/>
                <w:bCs/>
                <w:sz w:val="20"/>
                <w:szCs w:val="20"/>
              </w:rPr>
              <w:t> </w:t>
            </w:r>
          </w:p>
        </w:tc>
        <w:tc>
          <w:tcPr>
            <w:tcW w:w="2342" w:type="dxa"/>
            <w:hideMark/>
          </w:tcPr>
          <w:p w14:paraId="400C882B" w14:textId="77777777" w:rsidR="00B7525D" w:rsidRPr="00BE564F" w:rsidRDefault="00B7525D">
            <w:pPr>
              <w:rPr>
                <w:b/>
                <w:bCs/>
                <w:sz w:val="20"/>
                <w:szCs w:val="20"/>
              </w:rPr>
            </w:pPr>
            <w:r w:rsidRPr="00BE564F">
              <w:rPr>
                <w:b/>
                <w:bCs/>
                <w:sz w:val="20"/>
                <w:szCs w:val="20"/>
              </w:rPr>
              <w:t> </w:t>
            </w:r>
          </w:p>
        </w:tc>
        <w:tc>
          <w:tcPr>
            <w:tcW w:w="2011" w:type="dxa"/>
            <w:hideMark/>
          </w:tcPr>
          <w:p w14:paraId="3BD0BBA1" w14:textId="77777777" w:rsidR="00B7525D" w:rsidRPr="00BE564F" w:rsidRDefault="00B7525D">
            <w:pPr>
              <w:rPr>
                <w:b/>
                <w:bCs/>
                <w:sz w:val="20"/>
                <w:szCs w:val="20"/>
              </w:rPr>
            </w:pPr>
            <w:r w:rsidRPr="00BE564F">
              <w:rPr>
                <w:b/>
                <w:bCs/>
                <w:sz w:val="20"/>
                <w:szCs w:val="20"/>
              </w:rPr>
              <w:t> </w:t>
            </w:r>
          </w:p>
        </w:tc>
        <w:tc>
          <w:tcPr>
            <w:tcW w:w="2507" w:type="dxa"/>
            <w:hideMark/>
          </w:tcPr>
          <w:p w14:paraId="51BAD971" w14:textId="77777777" w:rsidR="00B7525D" w:rsidRPr="00BE564F" w:rsidRDefault="00B7525D">
            <w:pPr>
              <w:rPr>
                <w:b/>
                <w:bCs/>
                <w:sz w:val="20"/>
                <w:szCs w:val="20"/>
              </w:rPr>
            </w:pPr>
            <w:r w:rsidRPr="00BE564F">
              <w:rPr>
                <w:b/>
                <w:bCs/>
                <w:sz w:val="20"/>
                <w:szCs w:val="20"/>
              </w:rPr>
              <w:t>Part of strong communities</w:t>
            </w:r>
          </w:p>
        </w:tc>
        <w:tc>
          <w:tcPr>
            <w:tcW w:w="1978" w:type="dxa"/>
            <w:noWrap/>
            <w:hideMark/>
          </w:tcPr>
          <w:p w14:paraId="0834A89C" w14:textId="77777777" w:rsidR="00B7525D" w:rsidRPr="00BE564F" w:rsidRDefault="00B7525D">
            <w:pPr>
              <w:rPr>
                <w:sz w:val="20"/>
                <w:szCs w:val="20"/>
              </w:rPr>
            </w:pPr>
            <w:r w:rsidRPr="00BE564F">
              <w:rPr>
                <w:sz w:val="20"/>
                <w:szCs w:val="20"/>
              </w:rPr>
              <w:t> </w:t>
            </w:r>
          </w:p>
        </w:tc>
      </w:tr>
      <w:tr w:rsidR="00225DC2" w:rsidRPr="00B7525D" w14:paraId="483AF162" w14:textId="77777777" w:rsidTr="00225DC2">
        <w:trPr>
          <w:trHeight w:val="290"/>
        </w:trPr>
        <w:tc>
          <w:tcPr>
            <w:tcW w:w="223" w:type="dxa"/>
            <w:noWrap/>
            <w:hideMark/>
          </w:tcPr>
          <w:p w14:paraId="7A26FF40" w14:textId="77777777" w:rsidR="00B7525D" w:rsidRPr="00B7525D" w:rsidRDefault="00B7525D"/>
        </w:tc>
        <w:tc>
          <w:tcPr>
            <w:tcW w:w="222" w:type="dxa"/>
            <w:noWrap/>
            <w:hideMark/>
          </w:tcPr>
          <w:p w14:paraId="451B3E0D" w14:textId="77777777" w:rsidR="00B7525D" w:rsidRPr="00B7525D" w:rsidRDefault="00B7525D"/>
        </w:tc>
        <w:tc>
          <w:tcPr>
            <w:tcW w:w="2350" w:type="dxa"/>
            <w:hideMark/>
          </w:tcPr>
          <w:p w14:paraId="41283FAE" w14:textId="77777777" w:rsidR="00B7525D" w:rsidRPr="00BE564F" w:rsidRDefault="00B7525D">
            <w:pPr>
              <w:rPr>
                <w:b/>
                <w:bCs/>
                <w:sz w:val="20"/>
                <w:szCs w:val="20"/>
              </w:rPr>
            </w:pPr>
            <w:r w:rsidRPr="00BE564F">
              <w:rPr>
                <w:b/>
                <w:bCs/>
                <w:sz w:val="20"/>
                <w:szCs w:val="20"/>
              </w:rPr>
              <w:t> </w:t>
            </w:r>
          </w:p>
        </w:tc>
        <w:tc>
          <w:tcPr>
            <w:tcW w:w="2315" w:type="dxa"/>
            <w:hideMark/>
          </w:tcPr>
          <w:p w14:paraId="401FD093" w14:textId="77777777" w:rsidR="00B7525D" w:rsidRPr="00BE564F" w:rsidRDefault="00B7525D">
            <w:pPr>
              <w:rPr>
                <w:b/>
                <w:bCs/>
                <w:sz w:val="20"/>
                <w:szCs w:val="20"/>
              </w:rPr>
            </w:pPr>
            <w:r w:rsidRPr="00BE564F">
              <w:rPr>
                <w:b/>
                <w:bCs/>
                <w:sz w:val="20"/>
                <w:szCs w:val="20"/>
              </w:rPr>
              <w:t> </w:t>
            </w:r>
          </w:p>
        </w:tc>
        <w:tc>
          <w:tcPr>
            <w:tcW w:w="2342" w:type="dxa"/>
            <w:hideMark/>
          </w:tcPr>
          <w:p w14:paraId="1F91737E" w14:textId="77777777" w:rsidR="00B7525D" w:rsidRPr="00BE564F" w:rsidRDefault="00B7525D">
            <w:pPr>
              <w:rPr>
                <w:b/>
                <w:bCs/>
                <w:sz w:val="20"/>
                <w:szCs w:val="20"/>
              </w:rPr>
            </w:pPr>
            <w:r w:rsidRPr="00BE564F">
              <w:rPr>
                <w:b/>
                <w:bCs/>
                <w:sz w:val="20"/>
                <w:szCs w:val="20"/>
              </w:rPr>
              <w:t> </w:t>
            </w:r>
          </w:p>
        </w:tc>
        <w:tc>
          <w:tcPr>
            <w:tcW w:w="2011" w:type="dxa"/>
            <w:hideMark/>
          </w:tcPr>
          <w:p w14:paraId="2A086551" w14:textId="77777777" w:rsidR="00B7525D" w:rsidRPr="00BE564F" w:rsidRDefault="00B7525D">
            <w:pPr>
              <w:rPr>
                <w:b/>
                <w:bCs/>
                <w:sz w:val="20"/>
                <w:szCs w:val="20"/>
              </w:rPr>
            </w:pPr>
            <w:r w:rsidRPr="00BE564F">
              <w:rPr>
                <w:b/>
                <w:bCs/>
                <w:sz w:val="20"/>
                <w:szCs w:val="20"/>
              </w:rPr>
              <w:t> </w:t>
            </w:r>
          </w:p>
        </w:tc>
        <w:tc>
          <w:tcPr>
            <w:tcW w:w="2507" w:type="dxa"/>
            <w:hideMark/>
          </w:tcPr>
          <w:p w14:paraId="1F23A547" w14:textId="77777777" w:rsidR="00B7525D" w:rsidRPr="00BE564F" w:rsidRDefault="00B7525D">
            <w:pPr>
              <w:rPr>
                <w:b/>
                <w:bCs/>
                <w:sz w:val="20"/>
                <w:szCs w:val="20"/>
              </w:rPr>
            </w:pPr>
            <w:r w:rsidRPr="00BE564F">
              <w:rPr>
                <w:b/>
                <w:bCs/>
                <w:sz w:val="20"/>
                <w:szCs w:val="20"/>
              </w:rPr>
              <w:t> </w:t>
            </w:r>
          </w:p>
        </w:tc>
        <w:tc>
          <w:tcPr>
            <w:tcW w:w="1978" w:type="dxa"/>
            <w:noWrap/>
            <w:hideMark/>
          </w:tcPr>
          <w:p w14:paraId="358847E5" w14:textId="77777777" w:rsidR="00B7525D" w:rsidRPr="00BE564F" w:rsidRDefault="00B7525D">
            <w:pPr>
              <w:rPr>
                <w:sz w:val="20"/>
                <w:szCs w:val="20"/>
              </w:rPr>
            </w:pPr>
            <w:r w:rsidRPr="00BE564F">
              <w:rPr>
                <w:sz w:val="20"/>
                <w:szCs w:val="20"/>
              </w:rPr>
              <w:t> </w:t>
            </w:r>
          </w:p>
        </w:tc>
      </w:tr>
      <w:tr w:rsidR="00225DC2" w:rsidRPr="00B7525D" w14:paraId="2619B11C" w14:textId="77777777" w:rsidTr="00225DC2">
        <w:trPr>
          <w:trHeight w:val="290"/>
        </w:trPr>
        <w:tc>
          <w:tcPr>
            <w:tcW w:w="223" w:type="dxa"/>
            <w:noWrap/>
            <w:hideMark/>
          </w:tcPr>
          <w:p w14:paraId="184B2A99" w14:textId="77777777" w:rsidR="00B7525D" w:rsidRPr="00B7525D" w:rsidRDefault="00B7525D"/>
        </w:tc>
        <w:tc>
          <w:tcPr>
            <w:tcW w:w="222" w:type="dxa"/>
            <w:noWrap/>
            <w:hideMark/>
          </w:tcPr>
          <w:p w14:paraId="16ADFBF0" w14:textId="77777777" w:rsidR="00B7525D" w:rsidRPr="00B7525D" w:rsidRDefault="00B7525D"/>
        </w:tc>
        <w:tc>
          <w:tcPr>
            <w:tcW w:w="2350" w:type="dxa"/>
            <w:hideMark/>
          </w:tcPr>
          <w:p w14:paraId="2BA6DD30" w14:textId="77777777" w:rsidR="00B7525D" w:rsidRPr="00BE564F" w:rsidRDefault="00B7525D">
            <w:pPr>
              <w:rPr>
                <w:b/>
                <w:bCs/>
                <w:sz w:val="20"/>
                <w:szCs w:val="20"/>
              </w:rPr>
            </w:pPr>
            <w:r w:rsidRPr="00BE564F">
              <w:rPr>
                <w:b/>
                <w:bCs/>
                <w:sz w:val="20"/>
                <w:szCs w:val="20"/>
              </w:rPr>
              <w:t>Hedworth Lane, Jarrow</w:t>
            </w:r>
          </w:p>
        </w:tc>
        <w:tc>
          <w:tcPr>
            <w:tcW w:w="2315" w:type="dxa"/>
            <w:hideMark/>
          </w:tcPr>
          <w:p w14:paraId="3B803A5A" w14:textId="77777777" w:rsidR="00B7525D" w:rsidRPr="00BE564F" w:rsidRDefault="00B7525D">
            <w:pPr>
              <w:rPr>
                <w:b/>
                <w:bCs/>
                <w:sz w:val="20"/>
                <w:szCs w:val="20"/>
              </w:rPr>
            </w:pPr>
            <w:r w:rsidRPr="00BE564F">
              <w:rPr>
                <w:b/>
                <w:bCs/>
                <w:sz w:val="20"/>
                <w:szCs w:val="20"/>
              </w:rPr>
              <w:t xml:space="preserve">Carriageway resurfacing </w:t>
            </w:r>
          </w:p>
        </w:tc>
        <w:tc>
          <w:tcPr>
            <w:tcW w:w="2342" w:type="dxa"/>
            <w:hideMark/>
          </w:tcPr>
          <w:p w14:paraId="414B6636" w14:textId="77777777" w:rsidR="00B7525D" w:rsidRPr="00BE564F" w:rsidRDefault="00B7525D" w:rsidP="00B7525D">
            <w:pPr>
              <w:rPr>
                <w:b/>
                <w:bCs/>
                <w:sz w:val="20"/>
                <w:szCs w:val="20"/>
              </w:rPr>
            </w:pPr>
            <w:r w:rsidRPr="00BE564F">
              <w:rPr>
                <w:b/>
                <w:bCs/>
                <w:sz w:val="20"/>
                <w:szCs w:val="20"/>
              </w:rPr>
              <w:t>£120,000</w:t>
            </w:r>
          </w:p>
        </w:tc>
        <w:tc>
          <w:tcPr>
            <w:tcW w:w="2011" w:type="dxa"/>
            <w:hideMark/>
          </w:tcPr>
          <w:p w14:paraId="049D0574" w14:textId="77777777" w:rsidR="00B7525D" w:rsidRPr="00BE564F" w:rsidRDefault="00B7525D" w:rsidP="00B7525D">
            <w:pPr>
              <w:rPr>
                <w:b/>
                <w:bCs/>
                <w:sz w:val="20"/>
                <w:szCs w:val="20"/>
              </w:rPr>
            </w:pPr>
            <w:r w:rsidRPr="00BE564F">
              <w:rPr>
                <w:b/>
                <w:bCs/>
                <w:sz w:val="20"/>
                <w:szCs w:val="20"/>
              </w:rPr>
              <w:t>1200</w:t>
            </w:r>
          </w:p>
        </w:tc>
        <w:tc>
          <w:tcPr>
            <w:tcW w:w="2507" w:type="dxa"/>
            <w:hideMark/>
          </w:tcPr>
          <w:p w14:paraId="16E6F2D5" w14:textId="77777777" w:rsidR="00B7525D" w:rsidRPr="00BE564F" w:rsidRDefault="00B7525D">
            <w:pPr>
              <w:rPr>
                <w:b/>
                <w:bCs/>
                <w:sz w:val="20"/>
                <w:szCs w:val="20"/>
              </w:rPr>
            </w:pPr>
            <w:r w:rsidRPr="00BE564F">
              <w:rPr>
                <w:b/>
                <w:bCs/>
                <w:sz w:val="20"/>
                <w:szCs w:val="20"/>
              </w:rPr>
              <w:t>Improving connections to jobs</w:t>
            </w:r>
          </w:p>
        </w:tc>
        <w:tc>
          <w:tcPr>
            <w:tcW w:w="1978" w:type="dxa"/>
            <w:noWrap/>
            <w:hideMark/>
          </w:tcPr>
          <w:p w14:paraId="34FE97FE" w14:textId="3A944820" w:rsidR="00B7525D" w:rsidRPr="00BE564F" w:rsidRDefault="00641240">
            <w:pPr>
              <w:rPr>
                <w:sz w:val="20"/>
                <w:szCs w:val="20"/>
              </w:rPr>
            </w:pPr>
            <w:r>
              <w:rPr>
                <w:sz w:val="20"/>
                <w:szCs w:val="20"/>
              </w:rPr>
              <w:t>Programmed for October 2024</w:t>
            </w:r>
          </w:p>
        </w:tc>
      </w:tr>
      <w:tr w:rsidR="00225DC2" w:rsidRPr="00B7525D" w14:paraId="728068C5" w14:textId="77777777" w:rsidTr="00225DC2">
        <w:trPr>
          <w:trHeight w:val="290"/>
        </w:trPr>
        <w:tc>
          <w:tcPr>
            <w:tcW w:w="223" w:type="dxa"/>
            <w:noWrap/>
            <w:hideMark/>
          </w:tcPr>
          <w:p w14:paraId="42AC3DBD" w14:textId="77777777" w:rsidR="00B7525D" w:rsidRPr="00B7525D" w:rsidRDefault="00B7525D"/>
        </w:tc>
        <w:tc>
          <w:tcPr>
            <w:tcW w:w="222" w:type="dxa"/>
            <w:noWrap/>
            <w:hideMark/>
          </w:tcPr>
          <w:p w14:paraId="64C948D6" w14:textId="77777777" w:rsidR="00B7525D" w:rsidRPr="00B7525D" w:rsidRDefault="00B7525D"/>
        </w:tc>
        <w:tc>
          <w:tcPr>
            <w:tcW w:w="2350" w:type="dxa"/>
            <w:hideMark/>
          </w:tcPr>
          <w:p w14:paraId="18FC1708" w14:textId="77777777" w:rsidR="00B7525D" w:rsidRPr="00BE564F" w:rsidRDefault="00B7525D">
            <w:pPr>
              <w:rPr>
                <w:b/>
                <w:bCs/>
                <w:sz w:val="20"/>
                <w:szCs w:val="20"/>
              </w:rPr>
            </w:pPr>
            <w:r w:rsidRPr="00BE564F">
              <w:rPr>
                <w:b/>
                <w:bCs/>
                <w:sz w:val="20"/>
                <w:szCs w:val="20"/>
              </w:rPr>
              <w:t> </w:t>
            </w:r>
          </w:p>
        </w:tc>
        <w:tc>
          <w:tcPr>
            <w:tcW w:w="2315" w:type="dxa"/>
            <w:hideMark/>
          </w:tcPr>
          <w:p w14:paraId="1A0C46DB" w14:textId="77777777" w:rsidR="00B7525D" w:rsidRPr="00BE564F" w:rsidRDefault="00B7525D">
            <w:pPr>
              <w:rPr>
                <w:b/>
                <w:bCs/>
                <w:sz w:val="20"/>
                <w:szCs w:val="20"/>
              </w:rPr>
            </w:pPr>
            <w:r w:rsidRPr="00BE564F">
              <w:rPr>
                <w:b/>
                <w:bCs/>
                <w:sz w:val="20"/>
                <w:szCs w:val="20"/>
              </w:rPr>
              <w:t> </w:t>
            </w:r>
          </w:p>
        </w:tc>
        <w:tc>
          <w:tcPr>
            <w:tcW w:w="2342" w:type="dxa"/>
            <w:hideMark/>
          </w:tcPr>
          <w:p w14:paraId="6406F4D5" w14:textId="77777777" w:rsidR="00B7525D" w:rsidRPr="00BE564F" w:rsidRDefault="00B7525D">
            <w:pPr>
              <w:rPr>
                <w:b/>
                <w:bCs/>
                <w:sz w:val="20"/>
                <w:szCs w:val="20"/>
              </w:rPr>
            </w:pPr>
            <w:r w:rsidRPr="00BE564F">
              <w:rPr>
                <w:b/>
                <w:bCs/>
                <w:sz w:val="20"/>
                <w:szCs w:val="20"/>
              </w:rPr>
              <w:t> </w:t>
            </w:r>
          </w:p>
        </w:tc>
        <w:tc>
          <w:tcPr>
            <w:tcW w:w="2011" w:type="dxa"/>
            <w:hideMark/>
          </w:tcPr>
          <w:p w14:paraId="79EB6ED6" w14:textId="77777777" w:rsidR="00B7525D" w:rsidRPr="00BE564F" w:rsidRDefault="00B7525D">
            <w:pPr>
              <w:rPr>
                <w:b/>
                <w:bCs/>
                <w:sz w:val="20"/>
                <w:szCs w:val="20"/>
              </w:rPr>
            </w:pPr>
            <w:r w:rsidRPr="00BE564F">
              <w:rPr>
                <w:b/>
                <w:bCs/>
                <w:sz w:val="20"/>
                <w:szCs w:val="20"/>
              </w:rPr>
              <w:t> </w:t>
            </w:r>
          </w:p>
        </w:tc>
        <w:tc>
          <w:tcPr>
            <w:tcW w:w="2507" w:type="dxa"/>
            <w:hideMark/>
          </w:tcPr>
          <w:p w14:paraId="5807F151" w14:textId="77777777" w:rsidR="00B7525D" w:rsidRPr="00BE564F" w:rsidRDefault="00B7525D">
            <w:pPr>
              <w:rPr>
                <w:b/>
                <w:bCs/>
                <w:sz w:val="20"/>
                <w:szCs w:val="20"/>
              </w:rPr>
            </w:pPr>
            <w:r w:rsidRPr="00BE564F">
              <w:rPr>
                <w:b/>
                <w:bCs/>
                <w:sz w:val="20"/>
                <w:szCs w:val="20"/>
              </w:rPr>
              <w:t>Part of strong communities</w:t>
            </w:r>
          </w:p>
        </w:tc>
        <w:tc>
          <w:tcPr>
            <w:tcW w:w="1978" w:type="dxa"/>
            <w:noWrap/>
            <w:hideMark/>
          </w:tcPr>
          <w:p w14:paraId="43C187B8" w14:textId="77777777" w:rsidR="00B7525D" w:rsidRPr="00BE564F" w:rsidRDefault="00B7525D">
            <w:pPr>
              <w:rPr>
                <w:sz w:val="20"/>
                <w:szCs w:val="20"/>
              </w:rPr>
            </w:pPr>
            <w:r w:rsidRPr="00BE564F">
              <w:rPr>
                <w:sz w:val="20"/>
                <w:szCs w:val="20"/>
              </w:rPr>
              <w:t> </w:t>
            </w:r>
          </w:p>
        </w:tc>
      </w:tr>
      <w:tr w:rsidR="00225DC2" w:rsidRPr="00B7525D" w14:paraId="3C3C7848" w14:textId="77777777" w:rsidTr="00225DC2">
        <w:trPr>
          <w:trHeight w:val="290"/>
        </w:trPr>
        <w:tc>
          <w:tcPr>
            <w:tcW w:w="223" w:type="dxa"/>
            <w:noWrap/>
            <w:hideMark/>
          </w:tcPr>
          <w:p w14:paraId="0D4A3431" w14:textId="77777777" w:rsidR="00B7525D" w:rsidRPr="00B7525D" w:rsidRDefault="00B7525D"/>
        </w:tc>
        <w:tc>
          <w:tcPr>
            <w:tcW w:w="222" w:type="dxa"/>
            <w:noWrap/>
            <w:hideMark/>
          </w:tcPr>
          <w:p w14:paraId="72C102FB" w14:textId="77777777" w:rsidR="00B7525D" w:rsidRPr="00B7525D" w:rsidRDefault="00B7525D"/>
        </w:tc>
        <w:tc>
          <w:tcPr>
            <w:tcW w:w="2350" w:type="dxa"/>
            <w:hideMark/>
          </w:tcPr>
          <w:p w14:paraId="719C4673" w14:textId="77777777" w:rsidR="00B7525D" w:rsidRPr="00B7525D" w:rsidRDefault="00B7525D">
            <w:pPr>
              <w:rPr>
                <w:b/>
                <w:bCs/>
              </w:rPr>
            </w:pPr>
            <w:r w:rsidRPr="00B7525D">
              <w:rPr>
                <w:b/>
                <w:bCs/>
              </w:rPr>
              <w:t> </w:t>
            </w:r>
          </w:p>
        </w:tc>
        <w:tc>
          <w:tcPr>
            <w:tcW w:w="2315" w:type="dxa"/>
            <w:hideMark/>
          </w:tcPr>
          <w:p w14:paraId="13479FF1" w14:textId="77777777" w:rsidR="00B7525D" w:rsidRPr="00B7525D" w:rsidRDefault="00B7525D">
            <w:pPr>
              <w:rPr>
                <w:b/>
                <w:bCs/>
              </w:rPr>
            </w:pPr>
            <w:r w:rsidRPr="00B7525D">
              <w:rPr>
                <w:b/>
                <w:bCs/>
              </w:rPr>
              <w:t> </w:t>
            </w:r>
          </w:p>
        </w:tc>
        <w:tc>
          <w:tcPr>
            <w:tcW w:w="2342" w:type="dxa"/>
            <w:hideMark/>
          </w:tcPr>
          <w:p w14:paraId="3DCFA543" w14:textId="77777777" w:rsidR="00B7525D" w:rsidRPr="00B7525D" w:rsidRDefault="00B7525D">
            <w:pPr>
              <w:rPr>
                <w:b/>
                <w:bCs/>
              </w:rPr>
            </w:pPr>
            <w:r w:rsidRPr="00B7525D">
              <w:rPr>
                <w:b/>
                <w:bCs/>
              </w:rPr>
              <w:t> </w:t>
            </w:r>
          </w:p>
        </w:tc>
        <w:tc>
          <w:tcPr>
            <w:tcW w:w="2011" w:type="dxa"/>
            <w:hideMark/>
          </w:tcPr>
          <w:p w14:paraId="6203C478" w14:textId="77777777" w:rsidR="00B7525D" w:rsidRPr="00B7525D" w:rsidRDefault="00B7525D">
            <w:pPr>
              <w:rPr>
                <w:b/>
                <w:bCs/>
              </w:rPr>
            </w:pPr>
            <w:r w:rsidRPr="00B7525D">
              <w:rPr>
                <w:b/>
                <w:bCs/>
              </w:rPr>
              <w:t> </w:t>
            </w:r>
          </w:p>
        </w:tc>
        <w:tc>
          <w:tcPr>
            <w:tcW w:w="2507" w:type="dxa"/>
            <w:hideMark/>
          </w:tcPr>
          <w:p w14:paraId="45951439" w14:textId="77777777" w:rsidR="00B7525D" w:rsidRPr="00B7525D" w:rsidRDefault="00B7525D">
            <w:pPr>
              <w:rPr>
                <w:b/>
                <w:bCs/>
              </w:rPr>
            </w:pPr>
            <w:r w:rsidRPr="00B7525D">
              <w:rPr>
                <w:b/>
                <w:bCs/>
              </w:rPr>
              <w:t> </w:t>
            </w:r>
          </w:p>
        </w:tc>
        <w:tc>
          <w:tcPr>
            <w:tcW w:w="1978" w:type="dxa"/>
            <w:noWrap/>
            <w:hideMark/>
          </w:tcPr>
          <w:p w14:paraId="0335A661" w14:textId="77777777" w:rsidR="00B7525D" w:rsidRPr="00B7525D" w:rsidRDefault="00B7525D">
            <w:r w:rsidRPr="00B7525D">
              <w:t> </w:t>
            </w:r>
          </w:p>
        </w:tc>
      </w:tr>
      <w:tr w:rsidR="00225DC2" w:rsidRPr="00B7525D" w14:paraId="154D5DB1" w14:textId="77777777" w:rsidTr="00225DC2">
        <w:trPr>
          <w:trHeight w:val="280"/>
        </w:trPr>
        <w:tc>
          <w:tcPr>
            <w:tcW w:w="223" w:type="dxa"/>
            <w:noWrap/>
            <w:hideMark/>
          </w:tcPr>
          <w:p w14:paraId="76DF3FF7" w14:textId="77777777" w:rsidR="00B7525D" w:rsidRPr="00B7525D" w:rsidRDefault="00B7525D"/>
        </w:tc>
        <w:tc>
          <w:tcPr>
            <w:tcW w:w="222" w:type="dxa"/>
            <w:noWrap/>
            <w:hideMark/>
          </w:tcPr>
          <w:p w14:paraId="6DA5E774" w14:textId="77777777" w:rsidR="00B7525D" w:rsidRPr="00B7525D" w:rsidRDefault="00B7525D"/>
        </w:tc>
        <w:tc>
          <w:tcPr>
            <w:tcW w:w="2350" w:type="dxa"/>
            <w:noWrap/>
            <w:hideMark/>
          </w:tcPr>
          <w:p w14:paraId="10AD4FBE" w14:textId="77777777" w:rsidR="00B7525D" w:rsidRPr="00B7525D" w:rsidRDefault="00B7525D"/>
        </w:tc>
        <w:tc>
          <w:tcPr>
            <w:tcW w:w="2315" w:type="dxa"/>
            <w:noWrap/>
            <w:hideMark/>
          </w:tcPr>
          <w:p w14:paraId="63D8F693" w14:textId="77777777" w:rsidR="00B7525D" w:rsidRPr="00B7525D" w:rsidRDefault="00B7525D"/>
        </w:tc>
        <w:tc>
          <w:tcPr>
            <w:tcW w:w="2342" w:type="dxa"/>
            <w:noWrap/>
            <w:hideMark/>
          </w:tcPr>
          <w:p w14:paraId="15785B58" w14:textId="77777777" w:rsidR="00B7525D" w:rsidRPr="00B7525D" w:rsidRDefault="00B7525D"/>
        </w:tc>
        <w:tc>
          <w:tcPr>
            <w:tcW w:w="2011" w:type="dxa"/>
            <w:noWrap/>
            <w:hideMark/>
          </w:tcPr>
          <w:p w14:paraId="4554EEB3" w14:textId="77777777" w:rsidR="00B7525D" w:rsidRPr="00B7525D" w:rsidRDefault="00B7525D"/>
        </w:tc>
        <w:tc>
          <w:tcPr>
            <w:tcW w:w="2507" w:type="dxa"/>
            <w:noWrap/>
            <w:hideMark/>
          </w:tcPr>
          <w:p w14:paraId="6656178D" w14:textId="77777777" w:rsidR="00B7525D" w:rsidRPr="00B7525D" w:rsidRDefault="00B7525D"/>
        </w:tc>
        <w:tc>
          <w:tcPr>
            <w:tcW w:w="1978" w:type="dxa"/>
            <w:noWrap/>
            <w:hideMark/>
          </w:tcPr>
          <w:p w14:paraId="0FD263DA" w14:textId="77777777" w:rsidR="00B7525D" w:rsidRPr="00B7525D" w:rsidRDefault="00B7525D"/>
        </w:tc>
      </w:tr>
      <w:tr w:rsidR="00225DC2" w:rsidRPr="00B7525D" w14:paraId="37F90891" w14:textId="77777777" w:rsidTr="00225DC2">
        <w:trPr>
          <w:trHeight w:val="280"/>
        </w:trPr>
        <w:tc>
          <w:tcPr>
            <w:tcW w:w="223" w:type="dxa"/>
            <w:noWrap/>
          </w:tcPr>
          <w:p w14:paraId="1394BB00" w14:textId="77777777" w:rsidR="00225DC2" w:rsidRPr="00B7525D" w:rsidRDefault="00225DC2"/>
        </w:tc>
        <w:tc>
          <w:tcPr>
            <w:tcW w:w="222" w:type="dxa"/>
            <w:noWrap/>
          </w:tcPr>
          <w:p w14:paraId="4BD6B881" w14:textId="77777777" w:rsidR="00225DC2" w:rsidRPr="00B7525D" w:rsidRDefault="00225DC2"/>
        </w:tc>
        <w:tc>
          <w:tcPr>
            <w:tcW w:w="2350" w:type="dxa"/>
            <w:noWrap/>
          </w:tcPr>
          <w:p w14:paraId="07710DF9" w14:textId="77777777" w:rsidR="00225DC2" w:rsidRPr="00B7525D" w:rsidRDefault="00225DC2"/>
        </w:tc>
        <w:tc>
          <w:tcPr>
            <w:tcW w:w="2315" w:type="dxa"/>
            <w:noWrap/>
          </w:tcPr>
          <w:p w14:paraId="1731CC85" w14:textId="77777777" w:rsidR="00225DC2" w:rsidRPr="00B7525D" w:rsidRDefault="00225DC2"/>
        </w:tc>
        <w:tc>
          <w:tcPr>
            <w:tcW w:w="2342" w:type="dxa"/>
            <w:noWrap/>
          </w:tcPr>
          <w:p w14:paraId="6C7FD398" w14:textId="77777777" w:rsidR="00225DC2" w:rsidRPr="00B7525D" w:rsidRDefault="00225DC2"/>
        </w:tc>
        <w:tc>
          <w:tcPr>
            <w:tcW w:w="2011" w:type="dxa"/>
            <w:noWrap/>
          </w:tcPr>
          <w:p w14:paraId="7EE560C8" w14:textId="77777777" w:rsidR="00225DC2" w:rsidRPr="00B7525D" w:rsidRDefault="00225DC2"/>
        </w:tc>
        <w:tc>
          <w:tcPr>
            <w:tcW w:w="2507" w:type="dxa"/>
            <w:noWrap/>
          </w:tcPr>
          <w:p w14:paraId="40BECE85" w14:textId="77777777" w:rsidR="00225DC2" w:rsidRPr="00B7525D" w:rsidRDefault="00225DC2"/>
        </w:tc>
        <w:tc>
          <w:tcPr>
            <w:tcW w:w="1978" w:type="dxa"/>
            <w:noWrap/>
          </w:tcPr>
          <w:p w14:paraId="73059383" w14:textId="77777777" w:rsidR="00225DC2" w:rsidRPr="00B7525D" w:rsidRDefault="00225DC2"/>
        </w:tc>
      </w:tr>
      <w:tr w:rsidR="00225DC2" w:rsidRPr="00B7525D" w14:paraId="0003099C" w14:textId="77777777" w:rsidTr="00225DC2">
        <w:trPr>
          <w:trHeight w:val="280"/>
        </w:trPr>
        <w:tc>
          <w:tcPr>
            <w:tcW w:w="223" w:type="dxa"/>
            <w:noWrap/>
            <w:hideMark/>
          </w:tcPr>
          <w:p w14:paraId="28775FE6" w14:textId="77777777" w:rsidR="00B7525D" w:rsidRPr="00B7525D" w:rsidRDefault="00B7525D"/>
        </w:tc>
        <w:tc>
          <w:tcPr>
            <w:tcW w:w="222" w:type="dxa"/>
            <w:noWrap/>
            <w:hideMark/>
          </w:tcPr>
          <w:p w14:paraId="06A6C004" w14:textId="77777777" w:rsidR="00B7525D" w:rsidRPr="00B7525D" w:rsidRDefault="00B7525D"/>
        </w:tc>
        <w:tc>
          <w:tcPr>
            <w:tcW w:w="2350" w:type="dxa"/>
            <w:noWrap/>
            <w:hideMark/>
          </w:tcPr>
          <w:p w14:paraId="46211B8A" w14:textId="77777777" w:rsidR="00B7525D" w:rsidRPr="00B7525D" w:rsidRDefault="00B7525D"/>
        </w:tc>
        <w:tc>
          <w:tcPr>
            <w:tcW w:w="2315" w:type="dxa"/>
            <w:noWrap/>
            <w:hideMark/>
          </w:tcPr>
          <w:p w14:paraId="7F2A5EE9" w14:textId="77777777" w:rsidR="00B7525D" w:rsidRPr="00B7525D" w:rsidRDefault="00B7525D"/>
        </w:tc>
        <w:tc>
          <w:tcPr>
            <w:tcW w:w="2342" w:type="dxa"/>
            <w:noWrap/>
            <w:hideMark/>
          </w:tcPr>
          <w:p w14:paraId="1788126C" w14:textId="77777777" w:rsidR="00B7525D" w:rsidRPr="00B7525D" w:rsidRDefault="00B7525D"/>
        </w:tc>
        <w:tc>
          <w:tcPr>
            <w:tcW w:w="2011" w:type="dxa"/>
            <w:noWrap/>
            <w:hideMark/>
          </w:tcPr>
          <w:p w14:paraId="5A3783C9" w14:textId="77777777" w:rsidR="00B7525D" w:rsidRPr="00B7525D" w:rsidRDefault="00B7525D"/>
        </w:tc>
        <w:tc>
          <w:tcPr>
            <w:tcW w:w="2507" w:type="dxa"/>
            <w:noWrap/>
            <w:hideMark/>
          </w:tcPr>
          <w:p w14:paraId="1EC7ABF6" w14:textId="77777777" w:rsidR="00B7525D" w:rsidRPr="00B7525D" w:rsidRDefault="00B7525D"/>
        </w:tc>
        <w:tc>
          <w:tcPr>
            <w:tcW w:w="1978" w:type="dxa"/>
            <w:noWrap/>
            <w:hideMark/>
          </w:tcPr>
          <w:p w14:paraId="6D1CAC18" w14:textId="77777777" w:rsidR="00B7525D" w:rsidRPr="00B7525D" w:rsidRDefault="00B7525D"/>
        </w:tc>
      </w:tr>
      <w:tr w:rsidR="00B7525D" w:rsidRPr="00B7525D" w14:paraId="0D680D83" w14:textId="77777777" w:rsidTr="00225DC2">
        <w:trPr>
          <w:trHeight w:val="1260"/>
        </w:trPr>
        <w:tc>
          <w:tcPr>
            <w:tcW w:w="223" w:type="dxa"/>
            <w:noWrap/>
            <w:hideMark/>
          </w:tcPr>
          <w:p w14:paraId="0F9466F0" w14:textId="77777777" w:rsidR="00B7525D" w:rsidRPr="00B7525D" w:rsidRDefault="00B7525D"/>
        </w:tc>
        <w:tc>
          <w:tcPr>
            <w:tcW w:w="222" w:type="dxa"/>
            <w:noWrap/>
            <w:hideMark/>
          </w:tcPr>
          <w:p w14:paraId="4B3DC0AE" w14:textId="77777777" w:rsidR="00B7525D" w:rsidRPr="00B7525D" w:rsidRDefault="00B7525D"/>
        </w:tc>
        <w:tc>
          <w:tcPr>
            <w:tcW w:w="11525" w:type="dxa"/>
            <w:gridSpan w:val="5"/>
            <w:hideMark/>
          </w:tcPr>
          <w:p w14:paraId="1B15C36B" w14:textId="77777777" w:rsidR="00B7525D" w:rsidRPr="00B7525D" w:rsidRDefault="00B7525D">
            <w:pPr>
              <w:rPr>
                <w:b/>
                <w:bCs/>
              </w:rPr>
            </w:pPr>
            <w:r w:rsidRPr="00B7525D">
              <w:rPr>
                <w:b/>
                <w:bCs/>
              </w:rPr>
              <w:t xml:space="preserve">The plan should include summaries of the additional resurfacing and other work either completed in 2023/24 or scheduled in 2024/25 using the additional funding in Budget 2023 and the further funding confirmed in this letter. This should set out the total volumes of additional work already completed and due to be completed by March 2025; </w:t>
            </w:r>
            <w:proofErr w:type="gramStart"/>
            <w:r w:rsidRPr="00B7525D">
              <w:rPr>
                <w:b/>
                <w:bCs/>
              </w:rPr>
              <w:t>particular roads</w:t>
            </w:r>
            <w:proofErr w:type="gramEnd"/>
            <w:r w:rsidRPr="00B7525D">
              <w:rPr>
                <w:b/>
                <w:bCs/>
              </w:rPr>
              <w:t>, communities, or locations that have already benefited from it, or that are due to benefit from it; and the further additional work that will be completed during 2024/25 – again setting out both expected total volumes of additional work and where it is planned</w:t>
            </w:r>
          </w:p>
        </w:tc>
        <w:tc>
          <w:tcPr>
            <w:tcW w:w="1978" w:type="dxa"/>
            <w:noWrap/>
            <w:hideMark/>
          </w:tcPr>
          <w:p w14:paraId="2CF6A6C1" w14:textId="77777777" w:rsidR="00B7525D" w:rsidRPr="00B7525D" w:rsidRDefault="00B7525D">
            <w:pPr>
              <w:rPr>
                <w:b/>
                <w:bCs/>
              </w:rPr>
            </w:pPr>
          </w:p>
        </w:tc>
      </w:tr>
    </w:tbl>
    <w:p w14:paraId="3093F74A" w14:textId="77777777" w:rsidR="00B7525D" w:rsidRDefault="00B7525D"/>
    <w:sectPr w:rsidR="00B7525D" w:rsidSect="00B7525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5D"/>
    <w:rsid w:val="0009548C"/>
    <w:rsid w:val="00157AED"/>
    <w:rsid w:val="001E08EB"/>
    <w:rsid w:val="00225DC2"/>
    <w:rsid w:val="00541A28"/>
    <w:rsid w:val="00641240"/>
    <w:rsid w:val="0079640F"/>
    <w:rsid w:val="00B67B30"/>
    <w:rsid w:val="00B7525D"/>
    <w:rsid w:val="00BE5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F1BE5"/>
  <w15:chartTrackingRefBased/>
  <w15:docId w15:val="{5038F06A-8B26-463C-A7D5-2FF7430B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2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52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52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52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52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52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52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52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52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52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52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52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52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52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2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2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525D"/>
    <w:rPr>
      <w:rFonts w:eastAsiaTheme="majorEastAsia" w:cstheme="majorBidi"/>
      <w:color w:val="272727" w:themeColor="text1" w:themeTint="D8"/>
    </w:rPr>
  </w:style>
  <w:style w:type="paragraph" w:styleId="Title">
    <w:name w:val="Title"/>
    <w:basedOn w:val="Normal"/>
    <w:next w:val="Normal"/>
    <w:link w:val="TitleChar"/>
    <w:uiPriority w:val="10"/>
    <w:qFormat/>
    <w:rsid w:val="00B752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2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52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52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25D"/>
    <w:pPr>
      <w:spacing w:before="160"/>
      <w:jc w:val="center"/>
    </w:pPr>
    <w:rPr>
      <w:i/>
      <w:iCs/>
      <w:color w:val="404040" w:themeColor="text1" w:themeTint="BF"/>
    </w:rPr>
  </w:style>
  <w:style w:type="character" w:customStyle="1" w:styleId="QuoteChar">
    <w:name w:val="Quote Char"/>
    <w:basedOn w:val="DefaultParagraphFont"/>
    <w:link w:val="Quote"/>
    <w:uiPriority w:val="29"/>
    <w:rsid w:val="00B7525D"/>
    <w:rPr>
      <w:i/>
      <w:iCs/>
      <w:color w:val="404040" w:themeColor="text1" w:themeTint="BF"/>
    </w:rPr>
  </w:style>
  <w:style w:type="paragraph" w:styleId="ListParagraph">
    <w:name w:val="List Paragraph"/>
    <w:basedOn w:val="Normal"/>
    <w:uiPriority w:val="34"/>
    <w:qFormat/>
    <w:rsid w:val="00B7525D"/>
    <w:pPr>
      <w:ind w:left="720"/>
      <w:contextualSpacing/>
    </w:pPr>
  </w:style>
  <w:style w:type="character" w:styleId="IntenseEmphasis">
    <w:name w:val="Intense Emphasis"/>
    <w:basedOn w:val="DefaultParagraphFont"/>
    <w:uiPriority w:val="21"/>
    <w:qFormat/>
    <w:rsid w:val="00B7525D"/>
    <w:rPr>
      <w:i/>
      <w:iCs/>
      <w:color w:val="0F4761" w:themeColor="accent1" w:themeShade="BF"/>
    </w:rPr>
  </w:style>
  <w:style w:type="paragraph" w:styleId="IntenseQuote">
    <w:name w:val="Intense Quote"/>
    <w:basedOn w:val="Normal"/>
    <w:next w:val="Normal"/>
    <w:link w:val="IntenseQuoteChar"/>
    <w:uiPriority w:val="30"/>
    <w:qFormat/>
    <w:rsid w:val="00B752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525D"/>
    <w:rPr>
      <w:i/>
      <w:iCs/>
      <w:color w:val="0F4761" w:themeColor="accent1" w:themeShade="BF"/>
    </w:rPr>
  </w:style>
  <w:style w:type="character" w:styleId="IntenseReference">
    <w:name w:val="Intense Reference"/>
    <w:basedOn w:val="DefaultParagraphFont"/>
    <w:uiPriority w:val="32"/>
    <w:qFormat/>
    <w:rsid w:val="00B7525D"/>
    <w:rPr>
      <w:b/>
      <w:bCs/>
      <w:smallCaps/>
      <w:color w:val="0F4761" w:themeColor="accent1" w:themeShade="BF"/>
      <w:spacing w:val="5"/>
    </w:rPr>
  </w:style>
  <w:style w:type="table" w:styleId="TableGrid">
    <w:name w:val="Table Grid"/>
    <w:basedOn w:val="TableNormal"/>
    <w:uiPriority w:val="39"/>
    <w:rsid w:val="00B75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94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Amess</dc:creator>
  <cp:keywords/>
  <dc:description/>
  <cp:lastModifiedBy>Megan Kay</cp:lastModifiedBy>
  <cp:revision>2</cp:revision>
  <dcterms:created xsi:type="dcterms:W3CDTF">2024-07-24T13:09:00Z</dcterms:created>
  <dcterms:modified xsi:type="dcterms:W3CDTF">2024-07-24T13:09:00Z</dcterms:modified>
</cp:coreProperties>
</file>