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2769" w14:textId="38697AE9" w:rsidR="00807A10" w:rsidRPr="000E6B90" w:rsidRDefault="000E6B90" w:rsidP="000E6B90">
      <w:pPr>
        <w:rPr>
          <w:rFonts w:ascii="Arial" w:hAnsi="Arial" w:cs="Arial"/>
          <w:b/>
          <w:bCs/>
          <w:sz w:val="24"/>
          <w:szCs w:val="24"/>
        </w:rPr>
      </w:pPr>
      <w:r>
        <w:t xml:space="preserve">Appendix </w:t>
      </w:r>
      <w:r>
        <w:t xml:space="preserve">H                                     </w:t>
      </w:r>
      <w:r>
        <w:t xml:space="preserve"> </w:t>
      </w:r>
      <w:hyperlink w:anchor="CDMEventsGuidance" w:history="1">
        <w:r w:rsidR="00807A10" w:rsidRPr="000E6B90">
          <w:rPr>
            <w:rStyle w:val="Hyperlink"/>
            <w:rFonts w:ascii="Arial" w:hAnsi="Arial" w:cs="Arial"/>
            <w:b/>
            <w:bCs/>
            <w:color w:val="auto"/>
            <w:sz w:val="24"/>
            <w:szCs w:val="24"/>
          </w:rPr>
          <w:t>A Guide to CDM in Events</w:t>
        </w:r>
      </w:hyperlink>
    </w:p>
    <w:p w14:paraId="6E64BFEF" w14:textId="77777777" w:rsidR="00807A10" w:rsidRPr="00CE4C53" w:rsidRDefault="00807A10" w:rsidP="00807A10">
      <w:pPr>
        <w:pStyle w:val="ListParagraph"/>
        <w:rPr>
          <w:rFonts w:ascii="Arial" w:hAnsi="Arial" w:cs="Arial"/>
          <w:b/>
          <w:bCs/>
          <w:sz w:val="24"/>
          <w:szCs w:val="24"/>
        </w:rPr>
      </w:pPr>
    </w:p>
    <w:p w14:paraId="2A241708" w14:textId="77777777" w:rsidR="00807A10" w:rsidRPr="006A19AA" w:rsidRDefault="00807A10" w:rsidP="00807A10">
      <w:pPr>
        <w:rPr>
          <w:rFonts w:ascii="Arial" w:hAnsi="Arial" w:cs="Arial"/>
          <w:b/>
          <w:sz w:val="24"/>
          <w:szCs w:val="24"/>
        </w:rPr>
      </w:pPr>
      <w:bookmarkStart w:id="0" w:name="CDMEventsGuidance"/>
      <w:r w:rsidRPr="006A19AA">
        <w:rPr>
          <w:rFonts w:ascii="Arial" w:hAnsi="Arial" w:cs="Arial"/>
          <w:b/>
          <w:sz w:val="24"/>
          <w:szCs w:val="24"/>
        </w:rPr>
        <w:t>CDM in Events Guidance</w:t>
      </w:r>
      <w:r>
        <w:rPr>
          <w:rFonts w:ascii="Arial" w:hAnsi="Arial" w:cs="Arial"/>
          <w:b/>
          <w:sz w:val="24"/>
          <w:szCs w:val="24"/>
        </w:rPr>
        <w:t xml:space="preserve"> </w:t>
      </w:r>
      <w:r w:rsidRPr="00C05824">
        <w:rPr>
          <w:rFonts w:ascii="Arial" w:hAnsi="Arial" w:cs="Arial"/>
          <w:b/>
          <w:sz w:val="24"/>
          <w:szCs w:val="24"/>
          <w:highlight w:val="yellow"/>
        </w:rPr>
        <w:t>EMILY TO COVER WITH EVENTS TEAM TO CHECK STILL HAPPENING</w:t>
      </w:r>
      <w:r>
        <w:rPr>
          <w:rFonts w:ascii="Arial" w:hAnsi="Arial" w:cs="Arial"/>
          <w:b/>
          <w:sz w:val="24"/>
          <w:szCs w:val="24"/>
        </w:rPr>
        <w:t xml:space="preserve"> LINK TO OTHER DOCUMENT EVENT PLANS will </w:t>
      </w:r>
      <w:proofErr w:type="gramStart"/>
      <w:r>
        <w:rPr>
          <w:rFonts w:ascii="Arial" w:hAnsi="Arial" w:cs="Arial"/>
          <w:b/>
          <w:sz w:val="24"/>
          <w:szCs w:val="24"/>
        </w:rPr>
        <w:t>cover</w:t>
      </w:r>
      <w:proofErr w:type="gramEnd"/>
      <w:r>
        <w:rPr>
          <w:rFonts w:ascii="Arial" w:hAnsi="Arial" w:cs="Arial"/>
          <w:b/>
          <w:sz w:val="24"/>
          <w:szCs w:val="24"/>
        </w:rPr>
        <w:t xml:space="preserve"> </w:t>
      </w:r>
    </w:p>
    <w:bookmarkEnd w:id="0"/>
    <w:p w14:paraId="45945444" w14:textId="77777777" w:rsidR="00807A10" w:rsidRPr="006A19AA" w:rsidRDefault="00807A10" w:rsidP="00807A10">
      <w:pPr>
        <w:rPr>
          <w:rFonts w:ascii="Arial" w:hAnsi="Arial" w:cs="Arial"/>
          <w:b/>
          <w:sz w:val="24"/>
          <w:szCs w:val="24"/>
        </w:rPr>
      </w:pPr>
      <w:r w:rsidRPr="006A19AA">
        <w:rPr>
          <w:rFonts w:ascii="Arial" w:hAnsi="Arial" w:cs="Arial"/>
          <w:b/>
          <w:sz w:val="24"/>
          <w:szCs w:val="24"/>
        </w:rPr>
        <w:t>Introduction</w:t>
      </w:r>
    </w:p>
    <w:p w14:paraId="66717DAE" w14:textId="77777777" w:rsidR="00807A10" w:rsidRPr="006A19AA" w:rsidRDefault="00807A10" w:rsidP="00807A10">
      <w:pPr>
        <w:rPr>
          <w:rFonts w:ascii="Arial" w:hAnsi="Arial" w:cs="Arial"/>
          <w:sz w:val="24"/>
          <w:szCs w:val="24"/>
        </w:rPr>
      </w:pPr>
      <w:r w:rsidRPr="006A19AA">
        <w:rPr>
          <w:rFonts w:ascii="Arial" w:hAnsi="Arial" w:cs="Arial"/>
          <w:sz w:val="24"/>
          <w:szCs w:val="24"/>
        </w:rPr>
        <w:t xml:space="preserve">1. </w:t>
      </w:r>
      <w:r w:rsidRPr="006A19AA">
        <w:rPr>
          <w:rFonts w:ascii="Arial" w:hAnsi="Arial" w:cs="Arial"/>
          <w:sz w:val="24"/>
          <w:szCs w:val="24"/>
        </w:rPr>
        <w:tab/>
        <w:t>The Construction Design and Management Regulations were substantially revised and reissued (6</w:t>
      </w:r>
      <w:r w:rsidRPr="006A19AA">
        <w:rPr>
          <w:rFonts w:ascii="Arial" w:hAnsi="Arial" w:cs="Arial"/>
          <w:sz w:val="24"/>
          <w:szCs w:val="24"/>
          <w:vertAlign w:val="superscript"/>
        </w:rPr>
        <w:t>th</w:t>
      </w:r>
      <w:r w:rsidRPr="006A19AA">
        <w:rPr>
          <w:rFonts w:ascii="Arial" w:hAnsi="Arial" w:cs="Arial"/>
          <w:sz w:val="24"/>
          <w:szCs w:val="24"/>
        </w:rPr>
        <w:t xml:space="preserve"> April 2015, referred to in </w:t>
      </w:r>
      <w:proofErr w:type="gramStart"/>
      <w:r w:rsidRPr="006A19AA">
        <w:rPr>
          <w:rFonts w:ascii="Arial" w:hAnsi="Arial" w:cs="Arial"/>
          <w:sz w:val="24"/>
          <w:szCs w:val="24"/>
        </w:rPr>
        <w:t>every day</w:t>
      </w:r>
      <w:proofErr w:type="gramEnd"/>
      <w:r w:rsidRPr="006A19AA">
        <w:rPr>
          <w:rFonts w:ascii="Arial" w:hAnsi="Arial" w:cs="Arial"/>
          <w:sz w:val="24"/>
          <w:szCs w:val="24"/>
        </w:rPr>
        <w:t xml:space="preserve"> context as CDM 2015). The 2015 changes are substantial, with significant impact on duty holder roles, thresholds for appointments, requirements for Construction Phase Plans and Project Notification. This Guidance provides advice on compliance with CDM 2015 in events The Corporate Health and Safety Policy </w:t>
      </w:r>
      <w:r w:rsidRPr="006A19AA">
        <w:rPr>
          <w:rFonts w:ascii="Arial" w:hAnsi="Arial" w:cs="Arial"/>
          <w:b/>
          <w:color w:val="FF0000"/>
          <w:sz w:val="24"/>
          <w:szCs w:val="24"/>
        </w:rPr>
        <w:t>3.20</w:t>
      </w:r>
      <w:r w:rsidRPr="006A19AA">
        <w:rPr>
          <w:rFonts w:ascii="Arial" w:hAnsi="Arial" w:cs="Arial"/>
          <w:color w:val="FF0000"/>
          <w:sz w:val="24"/>
          <w:szCs w:val="24"/>
        </w:rPr>
        <w:t xml:space="preserve"> </w:t>
      </w:r>
      <w:r w:rsidRPr="006A19AA">
        <w:rPr>
          <w:rFonts w:ascii="Arial" w:hAnsi="Arial" w:cs="Arial"/>
          <w:sz w:val="24"/>
          <w:szCs w:val="24"/>
        </w:rPr>
        <w:t>provides further information.</w:t>
      </w:r>
    </w:p>
    <w:p w14:paraId="2AEF7945" w14:textId="77777777" w:rsidR="00807A10" w:rsidRPr="006A19AA" w:rsidRDefault="00807A10" w:rsidP="00807A10">
      <w:pPr>
        <w:rPr>
          <w:rFonts w:ascii="Arial" w:hAnsi="Arial" w:cs="Arial"/>
          <w:b/>
          <w:sz w:val="24"/>
          <w:szCs w:val="24"/>
        </w:rPr>
      </w:pPr>
      <w:r w:rsidRPr="006A19AA">
        <w:rPr>
          <w:rFonts w:ascii="Arial" w:hAnsi="Arial" w:cs="Arial"/>
          <w:b/>
          <w:sz w:val="24"/>
          <w:szCs w:val="24"/>
        </w:rPr>
        <w:t>Health and Safety Executive Brief</w:t>
      </w:r>
    </w:p>
    <w:p w14:paraId="400C059D" w14:textId="77777777" w:rsidR="00807A10" w:rsidRPr="006A19AA" w:rsidRDefault="00807A10" w:rsidP="00807A10">
      <w:pPr>
        <w:autoSpaceDE w:val="0"/>
        <w:autoSpaceDN w:val="0"/>
        <w:adjustRightInd w:val="0"/>
        <w:jc w:val="both"/>
        <w:rPr>
          <w:rFonts w:ascii="Arial" w:hAnsi="Arial" w:cs="Arial"/>
          <w:sz w:val="24"/>
          <w:szCs w:val="24"/>
          <w:lang w:val="en-US"/>
        </w:rPr>
      </w:pPr>
      <w:r w:rsidRPr="006A19AA">
        <w:rPr>
          <w:rFonts w:ascii="Arial" w:hAnsi="Arial" w:cs="Arial"/>
          <w:sz w:val="24"/>
          <w:szCs w:val="24"/>
          <w:lang w:val="en-US"/>
        </w:rPr>
        <w:t>2.</w:t>
      </w:r>
      <w:r w:rsidRPr="006A19AA">
        <w:rPr>
          <w:rFonts w:ascii="Arial" w:hAnsi="Arial" w:cs="Arial"/>
          <w:sz w:val="24"/>
          <w:szCs w:val="24"/>
          <w:lang w:val="en-US"/>
        </w:rPr>
        <w:tab/>
        <w:t xml:space="preserve">The Health and Safety Executive have stated through their Joint Advisory Committee for Entertainment (JACE) see HSE letter at link: </w:t>
      </w:r>
      <w:hyperlink r:id="rId5" w:history="1">
        <w:r w:rsidRPr="006A19AA">
          <w:rPr>
            <w:rFonts w:ascii="Arial" w:hAnsi="Arial" w:cs="Arial"/>
            <w:color w:val="0563C1" w:themeColor="hyperlink"/>
            <w:sz w:val="24"/>
            <w:szCs w:val="24"/>
            <w:u w:val="single"/>
            <w:lang w:val="en-US"/>
          </w:rPr>
          <w:t>http://www.hse.gov.uk/entertainment/theatre-tv/cdm-update-letter-161214.pdf</w:t>
        </w:r>
      </w:hyperlink>
      <w:r w:rsidRPr="006A19AA">
        <w:rPr>
          <w:rFonts w:ascii="Arial" w:hAnsi="Arial" w:cs="Arial"/>
          <w:sz w:val="24"/>
          <w:szCs w:val="24"/>
          <w:lang w:val="en-US"/>
        </w:rPr>
        <w:t xml:space="preserve"> that CDM 2015 will like CDM 2007, apply to construction activities in the entertainment sectors.</w:t>
      </w:r>
    </w:p>
    <w:p w14:paraId="28401EB2" w14:textId="77777777" w:rsidR="00807A10" w:rsidRPr="006A19AA" w:rsidRDefault="00807A10" w:rsidP="00807A10">
      <w:pPr>
        <w:autoSpaceDE w:val="0"/>
        <w:autoSpaceDN w:val="0"/>
        <w:adjustRightInd w:val="0"/>
        <w:jc w:val="both"/>
        <w:rPr>
          <w:rFonts w:ascii="Arial" w:hAnsi="Arial" w:cs="Arial"/>
          <w:sz w:val="24"/>
          <w:szCs w:val="24"/>
          <w:lang w:val="en"/>
        </w:rPr>
      </w:pPr>
      <w:r w:rsidRPr="006A19AA">
        <w:rPr>
          <w:rFonts w:ascii="Arial" w:hAnsi="Arial" w:cs="Arial"/>
          <w:sz w:val="24"/>
          <w:szCs w:val="24"/>
          <w:lang w:val="en-US"/>
        </w:rPr>
        <w:t xml:space="preserve">A Construction activity is defined by section 2.1 of the CDM Regulations 2015 as </w:t>
      </w:r>
      <w:proofErr w:type="gramStart"/>
      <w:r w:rsidRPr="006A19AA">
        <w:rPr>
          <w:rFonts w:ascii="Arial" w:hAnsi="Arial" w:cs="Arial"/>
          <w:b/>
          <w:i/>
          <w:sz w:val="24"/>
          <w:szCs w:val="24"/>
          <w:lang w:val="en"/>
        </w:rPr>
        <w:t>‘ the</w:t>
      </w:r>
      <w:proofErr w:type="gramEnd"/>
      <w:r w:rsidRPr="006A19AA">
        <w:rPr>
          <w:rFonts w:ascii="Arial" w:hAnsi="Arial" w:cs="Arial"/>
          <w:b/>
          <w:i/>
          <w:sz w:val="24"/>
          <w:szCs w:val="24"/>
          <w:lang w:val="en"/>
        </w:rPr>
        <w:t xml:space="preserve"> carrying out of any building, civil engineering or engineering construction work’</w:t>
      </w:r>
      <w:r w:rsidRPr="006A19AA">
        <w:rPr>
          <w:rFonts w:ascii="Arial" w:hAnsi="Arial" w:cs="Arial"/>
          <w:sz w:val="24"/>
          <w:szCs w:val="24"/>
          <w:lang w:val="en"/>
        </w:rPr>
        <w:t xml:space="preserve"> and include</w:t>
      </w:r>
    </w:p>
    <w:p w14:paraId="3EE65128" w14:textId="77777777" w:rsidR="00807A10" w:rsidRPr="006A19AA" w:rsidRDefault="00807A10" w:rsidP="00807A10">
      <w:pPr>
        <w:rPr>
          <w:rFonts w:ascii="Arial" w:hAnsi="Arial" w:cs="Arial"/>
          <w:b/>
          <w:sz w:val="24"/>
          <w:szCs w:val="24"/>
        </w:rPr>
      </w:pPr>
      <w:r w:rsidRPr="006A19AA">
        <w:rPr>
          <w:rFonts w:ascii="Arial" w:hAnsi="Arial" w:cs="Arial"/>
          <w:b/>
          <w:sz w:val="24"/>
          <w:szCs w:val="24"/>
        </w:rPr>
        <w:t>Construction Activities in Event</w:t>
      </w:r>
    </w:p>
    <w:p w14:paraId="24C431BE" w14:textId="77777777" w:rsidR="00807A10" w:rsidRPr="006A19AA" w:rsidRDefault="00807A10" w:rsidP="00807A10">
      <w:pPr>
        <w:rPr>
          <w:rFonts w:ascii="Arial" w:hAnsi="Arial" w:cs="Arial"/>
          <w:sz w:val="24"/>
          <w:szCs w:val="24"/>
        </w:rPr>
      </w:pPr>
      <w:r w:rsidRPr="006A19AA">
        <w:rPr>
          <w:rFonts w:ascii="Arial" w:hAnsi="Arial" w:cs="Arial"/>
          <w:sz w:val="24"/>
          <w:szCs w:val="24"/>
        </w:rPr>
        <w:t>From the definition above and policy document 3.20 the likely activities that are construed as construction are as follows:</w:t>
      </w:r>
    </w:p>
    <w:p w14:paraId="15B50112" w14:textId="77777777" w:rsidR="00807A10" w:rsidRPr="006A19AA" w:rsidRDefault="00807A10" w:rsidP="00807A10">
      <w:pPr>
        <w:numPr>
          <w:ilvl w:val="1"/>
          <w:numId w:val="1"/>
        </w:numPr>
        <w:contextualSpacing/>
        <w:rPr>
          <w:rFonts w:ascii="Arial" w:hAnsi="Arial" w:cs="Arial"/>
          <w:sz w:val="24"/>
          <w:szCs w:val="24"/>
        </w:rPr>
      </w:pPr>
      <w:r w:rsidRPr="006A19AA">
        <w:rPr>
          <w:rFonts w:ascii="Arial" w:hAnsi="Arial" w:cs="Arial"/>
          <w:sz w:val="24"/>
          <w:szCs w:val="24"/>
        </w:rPr>
        <w:t xml:space="preserve">Construction of the stage, the stage </w:t>
      </w:r>
      <w:proofErr w:type="gramStart"/>
      <w:r w:rsidRPr="006A19AA">
        <w:rPr>
          <w:rFonts w:ascii="Arial" w:hAnsi="Arial" w:cs="Arial"/>
          <w:sz w:val="24"/>
          <w:szCs w:val="24"/>
        </w:rPr>
        <w:t>canopy,  a</w:t>
      </w:r>
      <w:proofErr w:type="gramEnd"/>
      <w:r w:rsidRPr="006A19AA">
        <w:rPr>
          <w:rFonts w:ascii="Arial" w:hAnsi="Arial" w:cs="Arial"/>
          <w:sz w:val="24"/>
          <w:szCs w:val="24"/>
        </w:rPr>
        <w:t xml:space="preserve"> grandstand, or a tower;</w:t>
      </w:r>
    </w:p>
    <w:p w14:paraId="5BF6C81C" w14:textId="77777777" w:rsidR="00807A10" w:rsidRPr="006A19AA" w:rsidRDefault="00807A10" w:rsidP="00807A10">
      <w:pPr>
        <w:numPr>
          <w:ilvl w:val="1"/>
          <w:numId w:val="1"/>
        </w:numPr>
        <w:contextualSpacing/>
        <w:rPr>
          <w:rFonts w:ascii="Arial" w:hAnsi="Arial" w:cs="Arial"/>
          <w:sz w:val="24"/>
          <w:szCs w:val="24"/>
        </w:rPr>
      </w:pPr>
      <w:r w:rsidRPr="006A19AA">
        <w:rPr>
          <w:rFonts w:ascii="Arial" w:hAnsi="Arial" w:cs="Arial"/>
          <w:sz w:val="24"/>
          <w:szCs w:val="24"/>
        </w:rPr>
        <w:t xml:space="preserve">The erection and dismantling of </w:t>
      </w:r>
      <w:proofErr w:type="gramStart"/>
      <w:r w:rsidRPr="006A19AA">
        <w:rPr>
          <w:rFonts w:ascii="Arial" w:hAnsi="Arial" w:cs="Arial"/>
          <w:sz w:val="24"/>
          <w:szCs w:val="24"/>
        </w:rPr>
        <w:t>marquees;</w:t>
      </w:r>
      <w:proofErr w:type="gramEnd"/>
    </w:p>
    <w:p w14:paraId="2567B955" w14:textId="77777777" w:rsidR="00807A10" w:rsidRPr="006A19AA" w:rsidRDefault="00807A10" w:rsidP="00807A10">
      <w:pPr>
        <w:numPr>
          <w:ilvl w:val="1"/>
          <w:numId w:val="1"/>
        </w:numPr>
        <w:contextualSpacing/>
        <w:rPr>
          <w:rFonts w:ascii="Arial" w:hAnsi="Arial" w:cs="Arial"/>
          <w:sz w:val="24"/>
          <w:szCs w:val="24"/>
        </w:rPr>
      </w:pPr>
      <w:r w:rsidRPr="006A19AA">
        <w:rPr>
          <w:rFonts w:ascii="Arial" w:hAnsi="Arial" w:cs="Arial"/>
          <w:sz w:val="24"/>
          <w:szCs w:val="24"/>
        </w:rPr>
        <w:t>Erection of security fencing and barge barriers</w:t>
      </w:r>
    </w:p>
    <w:p w14:paraId="173DBF95" w14:textId="77777777" w:rsidR="00807A10" w:rsidRPr="006A19AA" w:rsidRDefault="00807A10" w:rsidP="00807A10">
      <w:pPr>
        <w:numPr>
          <w:ilvl w:val="1"/>
          <w:numId w:val="1"/>
        </w:numPr>
        <w:contextualSpacing/>
        <w:rPr>
          <w:rFonts w:ascii="Arial" w:hAnsi="Arial" w:cs="Arial"/>
          <w:sz w:val="24"/>
          <w:szCs w:val="24"/>
        </w:rPr>
      </w:pPr>
      <w:r w:rsidRPr="006A19AA">
        <w:rPr>
          <w:rFonts w:ascii="Arial" w:hAnsi="Arial" w:cs="Arial"/>
          <w:sz w:val="24"/>
          <w:szCs w:val="24"/>
        </w:rPr>
        <w:t>Erection of scaffold.</w:t>
      </w:r>
    </w:p>
    <w:p w14:paraId="36EB7878" w14:textId="77777777" w:rsidR="00807A10" w:rsidRPr="006A19AA" w:rsidRDefault="00807A10" w:rsidP="00807A10">
      <w:pPr>
        <w:numPr>
          <w:ilvl w:val="1"/>
          <w:numId w:val="1"/>
        </w:numPr>
        <w:contextualSpacing/>
        <w:rPr>
          <w:rFonts w:ascii="Arial" w:hAnsi="Arial" w:cs="Arial"/>
          <w:sz w:val="24"/>
          <w:szCs w:val="24"/>
        </w:rPr>
      </w:pPr>
      <w:r w:rsidRPr="006A19AA">
        <w:rPr>
          <w:rFonts w:ascii="Arial" w:hAnsi="Arial" w:cs="Arial"/>
          <w:sz w:val="24"/>
          <w:szCs w:val="24"/>
        </w:rPr>
        <w:t xml:space="preserve">Temporary electrical installation to include: </w:t>
      </w:r>
      <w:proofErr w:type="gramStart"/>
      <w:r w:rsidRPr="006A19AA">
        <w:rPr>
          <w:rFonts w:ascii="Arial" w:hAnsi="Arial" w:cs="Arial"/>
          <w:sz w:val="24"/>
          <w:szCs w:val="24"/>
        </w:rPr>
        <w:t>a  power</w:t>
      </w:r>
      <w:proofErr w:type="gramEnd"/>
      <w:r w:rsidRPr="006A19AA">
        <w:rPr>
          <w:rFonts w:ascii="Arial" w:hAnsi="Arial" w:cs="Arial"/>
          <w:sz w:val="24"/>
          <w:szCs w:val="24"/>
        </w:rPr>
        <w:t xml:space="preserve"> source for the live acts on stage, a power supply to the concessions and catering facility in the Marquee, lighting rig beam;</w:t>
      </w:r>
    </w:p>
    <w:p w14:paraId="0279560F" w14:textId="77777777" w:rsidR="00807A10" w:rsidRPr="006A19AA" w:rsidRDefault="00807A10" w:rsidP="00807A10">
      <w:pPr>
        <w:numPr>
          <w:ilvl w:val="1"/>
          <w:numId w:val="1"/>
        </w:numPr>
        <w:contextualSpacing/>
        <w:rPr>
          <w:rFonts w:ascii="Arial" w:hAnsi="Arial" w:cs="Arial"/>
          <w:sz w:val="24"/>
          <w:szCs w:val="24"/>
        </w:rPr>
      </w:pPr>
      <w:r w:rsidRPr="006A19AA">
        <w:rPr>
          <w:rFonts w:ascii="Arial" w:hAnsi="Arial" w:cs="Arial"/>
          <w:sz w:val="24"/>
          <w:szCs w:val="24"/>
        </w:rPr>
        <w:t>Emergency lighting independent of the main supply.</w:t>
      </w:r>
    </w:p>
    <w:p w14:paraId="03E7355A" w14:textId="77777777" w:rsidR="00807A10" w:rsidRPr="006A19AA" w:rsidRDefault="00807A10" w:rsidP="00807A10">
      <w:pPr>
        <w:rPr>
          <w:rFonts w:ascii="Arial" w:hAnsi="Arial" w:cs="Arial"/>
          <w:sz w:val="24"/>
          <w:szCs w:val="24"/>
        </w:rPr>
      </w:pPr>
      <w:r w:rsidRPr="006A19AA">
        <w:rPr>
          <w:rFonts w:ascii="Arial" w:hAnsi="Arial" w:cs="Arial"/>
          <w:sz w:val="24"/>
          <w:szCs w:val="24"/>
        </w:rPr>
        <w:t xml:space="preserve">The identified activities a – d above </w:t>
      </w:r>
      <w:proofErr w:type="gramStart"/>
      <w:r w:rsidRPr="006A19AA">
        <w:rPr>
          <w:rFonts w:ascii="Arial" w:hAnsi="Arial" w:cs="Arial"/>
          <w:sz w:val="24"/>
          <w:szCs w:val="24"/>
        </w:rPr>
        <w:t>are</w:t>
      </w:r>
      <w:proofErr w:type="gramEnd"/>
      <w:r w:rsidRPr="006A19AA">
        <w:rPr>
          <w:rFonts w:ascii="Arial" w:hAnsi="Arial" w:cs="Arial"/>
          <w:sz w:val="24"/>
          <w:szCs w:val="24"/>
        </w:rPr>
        <w:t xml:space="preserve"> considered by the HSE to be Temporary Demountable Structures.  The HSE have a dedicated a web page to the management of health and safety in events at </w:t>
      </w:r>
      <w:hyperlink r:id="rId6" w:history="1">
        <w:r w:rsidRPr="006A19AA">
          <w:rPr>
            <w:rFonts w:ascii="Arial" w:hAnsi="Arial" w:cs="Arial"/>
            <w:color w:val="0563C1" w:themeColor="hyperlink"/>
            <w:sz w:val="24"/>
            <w:szCs w:val="24"/>
            <w:u w:val="single"/>
          </w:rPr>
          <w:t>http://www.hse.gov.uk/event-safety/temporary-demountable-structures.htm</w:t>
        </w:r>
      </w:hyperlink>
    </w:p>
    <w:p w14:paraId="57F65E24" w14:textId="77777777" w:rsidR="00807A10" w:rsidRPr="006A19AA" w:rsidRDefault="00807A10" w:rsidP="00807A10">
      <w:pPr>
        <w:rPr>
          <w:rFonts w:ascii="Arial" w:hAnsi="Arial" w:cs="Arial"/>
          <w:b/>
          <w:sz w:val="24"/>
          <w:szCs w:val="24"/>
        </w:rPr>
      </w:pPr>
      <w:r w:rsidRPr="006A19AA">
        <w:rPr>
          <w:rFonts w:ascii="Arial" w:hAnsi="Arial" w:cs="Arial"/>
          <w:b/>
          <w:sz w:val="24"/>
          <w:szCs w:val="24"/>
        </w:rPr>
        <w:t>Effects of CDM on Events</w:t>
      </w:r>
    </w:p>
    <w:p w14:paraId="21866E80" w14:textId="77777777" w:rsidR="00807A10" w:rsidRPr="006A19AA" w:rsidRDefault="00807A10" w:rsidP="00807A10">
      <w:pPr>
        <w:rPr>
          <w:rFonts w:ascii="Arial" w:hAnsi="Arial" w:cs="Arial"/>
          <w:b/>
          <w:i/>
          <w:sz w:val="24"/>
          <w:szCs w:val="24"/>
        </w:rPr>
      </w:pPr>
      <w:r w:rsidRPr="006A19AA">
        <w:rPr>
          <w:rFonts w:ascii="Arial" w:hAnsi="Arial" w:cs="Arial"/>
          <w:sz w:val="24"/>
          <w:szCs w:val="24"/>
        </w:rPr>
        <w:lastRenderedPageBreak/>
        <w:t>The HSE have confirmed through the Joint Advisory Committee for Entertainment communication ……  ‘</w:t>
      </w:r>
      <w:proofErr w:type="gramStart"/>
      <w:r w:rsidRPr="006A19AA">
        <w:rPr>
          <w:rFonts w:ascii="Arial" w:hAnsi="Arial" w:cs="Arial"/>
          <w:b/>
          <w:i/>
          <w:sz w:val="24"/>
          <w:szCs w:val="24"/>
        </w:rPr>
        <w:t>that</w:t>
      </w:r>
      <w:proofErr w:type="gramEnd"/>
      <w:r w:rsidRPr="006A19AA">
        <w:rPr>
          <w:rFonts w:ascii="Arial" w:hAnsi="Arial" w:cs="Arial"/>
          <w:b/>
          <w:i/>
          <w:sz w:val="24"/>
          <w:szCs w:val="24"/>
        </w:rPr>
        <w:t xml:space="preserve"> the industry will wish to be a position where it can demonstrate compliance with CDM. In practical terms, duty-holders who currently have effective arrangements in place to manage risks arising from construction activities will need to do little more to comply with the CDM 2015 Regulations’</w:t>
      </w:r>
    </w:p>
    <w:p w14:paraId="3D49F07A" w14:textId="77777777" w:rsidR="00807A10" w:rsidRPr="006A19AA" w:rsidRDefault="00807A10" w:rsidP="00807A10">
      <w:pPr>
        <w:rPr>
          <w:rFonts w:ascii="Arial" w:hAnsi="Arial" w:cs="Arial"/>
          <w:b/>
          <w:sz w:val="24"/>
          <w:szCs w:val="24"/>
        </w:rPr>
      </w:pPr>
    </w:p>
    <w:p w14:paraId="589B5934" w14:textId="77777777" w:rsidR="00807A10" w:rsidRPr="006A19AA" w:rsidRDefault="00807A10" w:rsidP="00807A10">
      <w:pPr>
        <w:rPr>
          <w:rFonts w:ascii="Arial" w:hAnsi="Arial" w:cs="Arial"/>
          <w:b/>
          <w:sz w:val="24"/>
          <w:szCs w:val="24"/>
        </w:rPr>
      </w:pPr>
      <w:r w:rsidRPr="006A19AA">
        <w:rPr>
          <w:rFonts w:ascii="Arial" w:hAnsi="Arial" w:cs="Arial"/>
          <w:b/>
          <w:sz w:val="24"/>
          <w:szCs w:val="24"/>
        </w:rPr>
        <w:t>Achieving Compliance</w:t>
      </w:r>
    </w:p>
    <w:p w14:paraId="5AB9F469" w14:textId="77777777" w:rsidR="00807A10" w:rsidRPr="006A19AA" w:rsidRDefault="00807A10" w:rsidP="00807A10">
      <w:pPr>
        <w:rPr>
          <w:rFonts w:ascii="Arial" w:hAnsi="Arial" w:cs="Arial"/>
          <w:sz w:val="24"/>
          <w:szCs w:val="24"/>
        </w:rPr>
      </w:pPr>
      <w:r w:rsidRPr="006A19AA">
        <w:rPr>
          <w:rFonts w:ascii="Arial" w:hAnsi="Arial" w:cs="Arial"/>
          <w:sz w:val="24"/>
          <w:szCs w:val="24"/>
        </w:rPr>
        <w:t>Effective management of health and safety risk in any construction project requires an informed and adequately resourced Project Team, to ensure effective cooperation and coordination at all stages of the Project.</w:t>
      </w:r>
    </w:p>
    <w:p w14:paraId="2AE235CA" w14:textId="77777777" w:rsidR="00807A10" w:rsidRPr="006A19AA" w:rsidRDefault="00807A10" w:rsidP="00807A10">
      <w:pPr>
        <w:rPr>
          <w:rFonts w:ascii="Arial" w:hAnsi="Arial" w:cs="Arial"/>
          <w:sz w:val="24"/>
          <w:szCs w:val="24"/>
        </w:rPr>
      </w:pPr>
      <w:r w:rsidRPr="006A19AA">
        <w:rPr>
          <w:rFonts w:ascii="Arial" w:hAnsi="Arial" w:cs="Arial"/>
          <w:sz w:val="24"/>
          <w:szCs w:val="24"/>
        </w:rPr>
        <w:t>The current arrangements in place to manage events already have a suitable management structure in place to manage the construction activities and to cover the duties identified in the CDM Regulations.  The table below details the current duty holders in events management, that should adopt the duties under CDM 2015 for the construction phase of the event.</w:t>
      </w:r>
    </w:p>
    <w:p w14:paraId="43365176" w14:textId="77777777" w:rsidR="00807A10" w:rsidRPr="00285889" w:rsidRDefault="00807A10" w:rsidP="00807A10">
      <w:pPr>
        <w:rPr>
          <w:rFonts w:ascii="Arial" w:hAnsi="Arial" w:cs="Arial"/>
          <w:b/>
          <w:sz w:val="24"/>
          <w:szCs w:val="24"/>
        </w:rPr>
      </w:pPr>
      <w:r w:rsidRPr="00285889">
        <w:rPr>
          <w:rFonts w:ascii="Arial" w:hAnsi="Arial" w:cs="Arial"/>
          <w:b/>
          <w:sz w:val="24"/>
          <w:szCs w:val="24"/>
        </w:rPr>
        <w:t>Table 8</w:t>
      </w:r>
    </w:p>
    <w:tbl>
      <w:tblPr>
        <w:tblStyle w:val="TableGrid2"/>
        <w:tblW w:w="0" w:type="auto"/>
        <w:tblLook w:val="04A0" w:firstRow="1" w:lastRow="0" w:firstColumn="1" w:lastColumn="0" w:noHBand="0" w:noVBand="1"/>
      </w:tblPr>
      <w:tblGrid>
        <w:gridCol w:w="3720"/>
        <w:gridCol w:w="2493"/>
        <w:gridCol w:w="3029"/>
      </w:tblGrid>
      <w:tr w:rsidR="00807A10" w:rsidRPr="006A19AA" w14:paraId="424A108A" w14:textId="77777777" w:rsidTr="00C4609D">
        <w:tc>
          <w:tcPr>
            <w:tcW w:w="4219" w:type="dxa"/>
            <w:shd w:val="clear" w:color="auto" w:fill="D9D9D9" w:themeFill="background1" w:themeFillShade="D9"/>
          </w:tcPr>
          <w:p w14:paraId="15DFF5DC" w14:textId="77777777" w:rsidR="00807A10" w:rsidRPr="006A19AA" w:rsidRDefault="00807A10" w:rsidP="00C4609D">
            <w:pPr>
              <w:rPr>
                <w:rFonts w:ascii="Arial" w:hAnsi="Arial" w:cs="Arial"/>
                <w:b/>
                <w:sz w:val="24"/>
                <w:szCs w:val="24"/>
              </w:rPr>
            </w:pPr>
            <w:r w:rsidRPr="006A19AA">
              <w:rPr>
                <w:rFonts w:ascii="Arial" w:hAnsi="Arial" w:cs="Arial"/>
                <w:b/>
                <w:sz w:val="24"/>
                <w:szCs w:val="24"/>
              </w:rPr>
              <w:t>Current Management Structure</w:t>
            </w:r>
          </w:p>
        </w:tc>
        <w:tc>
          <w:tcPr>
            <w:tcW w:w="2777" w:type="dxa"/>
            <w:shd w:val="clear" w:color="auto" w:fill="D9D9D9" w:themeFill="background1" w:themeFillShade="D9"/>
          </w:tcPr>
          <w:p w14:paraId="4BE7B22B" w14:textId="77777777" w:rsidR="00807A10" w:rsidRPr="006A19AA" w:rsidRDefault="00807A10" w:rsidP="00C4609D">
            <w:pPr>
              <w:rPr>
                <w:rFonts w:ascii="Arial" w:hAnsi="Arial" w:cs="Arial"/>
                <w:b/>
                <w:sz w:val="24"/>
                <w:szCs w:val="24"/>
              </w:rPr>
            </w:pPr>
            <w:r w:rsidRPr="006A19AA">
              <w:rPr>
                <w:rFonts w:ascii="Arial" w:hAnsi="Arial" w:cs="Arial"/>
                <w:b/>
                <w:sz w:val="24"/>
                <w:szCs w:val="24"/>
              </w:rPr>
              <w:t>CDM Duties</w:t>
            </w:r>
          </w:p>
        </w:tc>
        <w:tc>
          <w:tcPr>
            <w:tcW w:w="3424" w:type="dxa"/>
            <w:shd w:val="clear" w:color="auto" w:fill="D9D9D9" w:themeFill="background1" w:themeFillShade="D9"/>
          </w:tcPr>
          <w:p w14:paraId="12AAECC6" w14:textId="77777777" w:rsidR="00807A10" w:rsidRPr="006A19AA" w:rsidRDefault="00807A10" w:rsidP="00C4609D">
            <w:pPr>
              <w:rPr>
                <w:rFonts w:ascii="Arial" w:hAnsi="Arial" w:cs="Arial"/>
                <w:b/>
                <w:sz w:val="24"/>
                <w:szCs w:val="24"/>
              </w:rPr>
            </w:pPr>
            <w:r w:rsidRPr="006A19AA">
              <w:rPr>
                <w:rFonts w:ascii="Arial" w:hAnsi="Arial" w:cs="Arial"/>
                <w:b/>
                <w:sz w:val="24"/>
                <w:szCs w:val="24"/>
              </w:rPr>
              <w:t>Guidance Document</w:t>
            </w:r>
          </w:p>
        </w:tc>
      </w:tr>
      <w:tr w:rsidR="00807A10" w:rsidRPr="006A19AA" w14:paraId="2EDBCEDA" w14:textId="77777777" w:rsidTr="00C4609D">
        <w:tc>
          <w:tcPr>
            <w:tcW w:w="4219" w:type="dxa"/>
          </w:tcPr>
          <w:p w14:paraId="2E696935" w14:textId="77777777" w:rsidR="00807A10" w:rsidRPr="006A19AA" w:rsidRDefault="00807A10" w:rsidP="00C4609D">
            <w:pPr>
              <w:rPr>
                <w:rFonts w:ascii="Arial" w:hAnsi="Arial" w:cs="Arial"/>
                <w:sz w:val="24"/>
                <w:szCs w:val="24"/>
              </w:rPr>
            </w:pPr>
            <w:r w:rsidRPr="006A19AA">
              <w:rPr>
                <w:rFonts w:ascii="Arial" w:hAnsi="Arial" w:cs="Arial"/>
                <w:sz w:val="24"/>
                <w:szCs w:val="24"/>
              </w:rPr>
              <w:t>Cultural Services Business Manager</w:t>
            </w:r>
          </w:p>
          <w:p w14:paraId="1CF5DF63" w14:textId="77777777" w:rsidR="00807A10" w:rsidRPr="006A19AA" w:rsidRDefault="00807A10" w:rsidP="00C4609D">
            <w:pPr>
              <w:rPr>
                <w:rFonts w:ascii="Arial" w:hAnsi="Arial" w:cs="Arial"/>
                <w:sz w:val="24"/>
                <w:szCs w:val="24"/>
              </w:rPr>
            </w:pPr>
          </w:p>
        </w:tc>
        <w:tc>
          <w:tcPr>
            <w:tcW w:w="2777" w:type="dxa"/>
          </w:tcPr>
          <w:p w14:paraId="1F87973C" w14:textId="77777777" w:rsidR="00807A10" w:rsidRPr="006A19AA" w:rsidRDefault="00807A10" w:rsidP="00C4609D">
            <w:pPr>
              <w:rPr>
                <w:rFonts w:ascii="Arial" w:hAnsi="Arial" w:cs="Arial"/>
                <w:sz w:val="24"/>
                <w:szCs w:val="24"/>
              </w:rPr>
            </w:pPr>
            <w:r w:rsidRPr="006A19AA">
              <w:rPr>
                <w:rFonts w:ascii="Arial" w:hAnsi="Arial" w:cs="Arial"/>
                <w:sz w:val="24"/>
                <w:szCs w:val="24"/>
              </w:rPr>
              <w:t>Client</w:t>
            </w:r>
          </w:p>
        </w:tc>
        <w:tc>
          <w:tcPr>
            <w:tcW w:w="3424" w:type="dxa"/>
          </w:tcPr>
          <w:p w14:paraId="2FC18A1A" w14:textId="77777777" w:rsidR="00807A10" w:rsidRPr="006A19AA" w:rsidRDefault="00807A10" w:rsidP="00C4609D">
            <w:pPr>
              <w:rPr>
                <w:rFonts w:ascii="Arial" w:hAnsi="Arial" w:cs="Arial"/>
                <w:sz w:val="24"/>
                <w:szCs w:val="24"/>
              </w:rPr>
            </w:pPr>
            <w:proofErr w:type="gramStart"/>
            <w:r w:rsidRPr="006A19AA">
              <w:rPr>
                <w:rFonts w:ascii="Arial" w:hAnsi="Arial" w:cs="Arial"/>
                <w:sz w:val="24"/>
                <w:szCs w:val="24"/>
              </w:rPr>
              <w:t>See  “</w:t>
            </w:r>
            <w:proofErr w:type="gramEnd"/>
            <w:r w:rsidRPr="006A19AA">
              <w:rPr>
                <w:rFonts w:ascii="Arial" w:hAnsi="Arial" w:cs="Arial"/>
                <w:sz w:val="24"/>
                <w:szCs w:val="24"/>
              </w:rPr>
              <w:t>A Guide for the Client”</w:t>
            </w:r>
          </w:p>
        </w:tc>
      </w:tr>
      <w:tr w:rsidR="00807A10" w:rsidRPr="006A19AA" w14:paraId="4EB6E237" w14:textId="77777777" w:rsidTr="00C4609D">
        <w:tc>
          <w:tcPr>
            <w:tcW w:w="4219" w:type="dxa"/>
          </w:tcPr>
          <w:p w14:paraId="419B5F01" w14:textId="77777777" w:rsidR="00807A10" w:rsidRPr="006A19AA" w:rsidRDefault="00807A10" w:rsidP="00C4609D">
            <w:pPr>
              <w:rPr>
                <w:rFonts w:ascii="Arial" w:hAnsi="Arial" w:cs="Arial"/>
                <w:sz w:val="24"/>
                <w:szCs w:val="24"/>
              </w:rPr>
            </w:pPr>
            <w:r w:rsidRPr="006A19AA">
              <w:rPr>
                <w:rFonts w:ascii="Arial" w:hAnsi="Arial" w:cs="Arial"/>
                <w:sz w:val="24"/>
                <w:szCs w:val="24"/>
              </w:rPr>
              <w:t>Events Team</w:t>
            </w:r>
          </w:p>
          <w:p w14:paraId="00989317" w14:textId="77777777" w:rsidR="00807A10" w:rsidRPr="006A19AA" w:rsidRDefault="00807A10" w:rsidP="00C4609D">
            <w:pPr>
              <w:rPr>
                <w:rFonts w:ascii="Arial" w:hAnsi="Arial" w:cs="Arial"/>
                <w:sz w:val="24"/>
                <w:szCs w:val="24"/>
              </w:rPr>
            </w:pPr>
          </w:p>
        </w:tc>
        <w:tc>
          <w:tcPr>
            <w:tcW w:w="2777" w:type="dxa"/>
          </w:tcPr>
          <w:p w14:paraId="784F9824" w14:textId="77777777" w:rsidR="00807A10" w:rsidRPr="006A19AA" w:rsidRDefault="00807A10" w:rsidP="00C4609D">
            <w:pPr>
              <w:rPr>
                <w:rFonts w:ascii="Arial" w:hAnsi="Arial" w:cs="Arial"/>
                <w:sz w:val="24"/>
                <w:szCs w:val="24"/>
              </w:rPr>
            </w:pPr>
            <w:r w:rsidRPr="006A19AA">
              <w:rPr>
                <w:rFonts w:ascii="Arial" w:hAnsi="Arial" w:cs="Arial"/>
                <w:sz w:val="24"/>
                <w:szCs w:val="24"/>
              </w:rPr>
              <w:t>Principal Designer</w:t>
            </w:r>
          </w:p>
        </w:tc>
        <w:tc>
          <w:tcPr>
            <w:tcW w:w="3424" w:type="dxa"/>
          </w:tcPr>
          <w:p w14:paraId="208CA587" w14:textId="77777777" w:rsidR="00807A10" w:rsidRPr="006A19AA" w:rsidRDefault="00807A10" w:rsidP="00C4609D">
            <w:r w:rsidRPr="006A19AA">
              <w:rPr>
                <w:rFonts w:ascii="Arial" w:hAnsi="Arial" w:cs="Arial"/>
                <w:sz w:val="24"/>
                <w:szCs w:val="24"/>
              </w:rPr>
              <w:t>See “A Guide for the Principal Designer”</w:t>
            </w:r>
          </w:p>
        </w:tc>
      </w:tr>
      <w:tr w:rsidR="00807A10" w:rsidRPr="006A19AA" w14:paraId="6895F7C3" w14:textId="77777777" w:rsidTr="00C4609D">
        <w:tc>
          <w:tcPr>
            <w:tcW w:w="4219" w:type="dxa"/>
          </w:tcPr>
          <w:p w14:paraId="59113E55" w14:textId="77777777" w:rsidR="00807A10" w:rsidRPr="006A19AA" w:rsidRDefault="00807A10" w:rsidP="00C4609D">
            <w:pPr>
              <w:rPr>
                <w:rFonts w:ascii="Arial" w:hAnsi="Arial" w:cs="Arial"/>
                <w:sz w:val="24"/>
                <w:szCs w:val="24"/>
              </w:rPr>
            </w:pPr>
            <w:r w:rsidRPr="006A19AA">
              <w:rPr>
                <w:rFonts w:ascii="Arial" w:hAnsi="Arial" w:cs="Arial"/>
                <w:sz w:val="24"/>
                <w:szCs w:val="24"/>
              </w:rPr>
              <w:t>TDS Designer</w:t>
            </w:r>
          </w:p>
          <w:p w14:paraId="0591215E" w14:textId="77777777" w:rsidR="00807A10" w:rsidRPr="006A19AA" w:rsidRDefault="00807A10" w:rsidP="00C4609D">
            <w:pPr>
              <w:rPr>
                <w:rFonts w:ascii="Arial" w:hAnsi="Arial" w:cs="Arial"/>
                <w:sz w:val="24"/>
                <w:szCs w:val="24"/>
              </w:rPr>
            </w:pPr>
          </w:p>
        </w:tc>
        <w:tc>
          <w:tcPr>
            <w:tcW w:w="2777" w:type="dxa"/>
          </w:tcPr>
          <w:p w14:paraId="2BB9C880" w14:textId="77777777" w:rsidR="00807A10" w:rsidRPr="006A19AA" w:rsidRDefault="00807A10" w:rsidP="00C4609D">
            <w:pPr>
              <w:rPr>
                <w:rFonts w:ascii="Arial" w:hAnsi="Arial" w:cs="Arial"/>
                <w:sz w:val="24"/>
                <w:szCs w:val="24"/>
              </w:rPr>
            </w:pPr>
            <w:r w:rsidRPr="006A19AA">
              <w:rPr>
                <w:rFonts w:ascii="Arial" w:hAnsi="Arial" w:cs="Arial"/>
                <w:sz w:val="24"/>
                <w:szCs w:val="24"/>
              </w:rPr>
              <w:t>Designer</w:t>
            </w:r>
          </w:p>
        </w:tc>
        <w:tc>
          <w:tcPr>
            <w:tcW w:w="3424" w:type="dxa"/>
          </w:tcPr>
          <w:p w14:paraId="114D9691" w14:textId="77777777" w:rsidR="00807A10" w:rsidRPr="006A19AA" w:rsidRDefault="00807A10" w:rsidP="00C4609D">
            <w:r w:rsidRPr="006A19AA">
              <w:rPr>
                <w:rFonts w:ascii="Arial" w:hAnsi="Arial" w:cs="Arial"/>
                <w:sz w:val="24"/>
                <w:szCs w:val="24"/>
              </w:rPr>
              <w:t>See “A Guide for the Principal Designer”</w:t>
            </w:r>
          </w:p>
        </w:tc>
      </w:tr>
      <w:tr w:rsidR="00807A10" w:rsidRPr="006A19AA" w14:paraId="0900BBC3" w14:textId="77777777" w:rsidTr="00C4609D">
        <w:tc>
          <w:tcPr>
            <w:tcW w:w="4219" w:type="dxa"/>
          </w:tcPr>
          <w:p w14:paraId="5C4EF1CB" w14:textId="77777777" w:rsidR="00807A10" w:rsidRPr="006A19AA" w:rsidRDefault="00807A10" w:rsidP="00C4609D">
            <w:pPr>
              <w:rPr>
                <w:rFonts w:ascii="Arial" w:hAnsi="Arial" w:cs="Arial"/>
                <w:sz w:val="24"/>
                <w:szCs w:val="24"/>
              </w:rPr>
            </w:pPr>
            <w:r w:rsidRPr="006A19AA">
              <w:rPr>
                <w:rFonts w:ascii="Arial" w:hAnsi="Arial" w:cs="Arial"/>
                <w:sz w:val="24"/>
                <w:szCs w:val="24"/>
              </w:rPr>
              <w:t>TDS Contractor</w:t>
            </w:r>
          </w:p>
          <w:p w14:paraId="5B9EDF8C" w14:textId="77777777" w:rsidR="00807A10" w:rsidRPr="006A19AA" w:rsidRDefault="00807A10" w:rsidP="00C4609D">
            <w:pPr>
              <w:rPr>
                <w:rFonts w:ascii="Arial" w:hAnsi="Arial" w:cs="Arial"/>
                <w:sz w:val="24"/>
                <w:szCs w:val="24"/>
              </w:rPr>
            </w:pPr>
          </w:p>
        </w:tc>
        <w:tc>
          <w:tcPr>
            <w:tcW w:w="2777" w:type="dxa"/>
          </w:tcPr>
          <w:p w14:paraId="78F2DFCA" w14:textId="77777777" w:rsidR="00807A10" w:rsidRPr="006A19AA" w:rsidRDefault="00807A10" w:rsidP="00C4609D">
            <w:pPr>
              <w:rPr>
                <w:rFonts w:ascii="Arial" w:hAnsi="Arial" w:cs="Arial"/>
                <w:sz w:val="24"/>
                <w:szCs w:val="24"/>
              </w:rPr>
            </w:pPr>
            <w:r w:rsidRPr="006A19AA">
              <w:rPr>
                <w:rFonts w:ascii="Arial" w:hAnsi="Arial" w:cs="Arial"/>
                <w:sz w:val="24"/>
                <w:szCs w:val="24"/>
              </w:rPr>
              <w:t>Principal Contractor</w:t>
            </w:r>
          </w:p>
        </w:tc>
        <w:tc>
          <w:tcPr>
            <w:tcW w:w="3424" w:type="dxa"/>
          </w:tcPr>
          <w:p w14:paraId="188031BC" w14:textId="77777777" w:rsidR="00807A10" w:rsidRPr="006A19AA" w:rsidRDefault="00807A10" w:rsidP="00C4609D">
            <w:r w:rsidRPr="006A19AA">
              <w:rPr>
                <w:rFonts w:ascii="Arial" w:hAnsi="Arial" w:cs="Arial"/>
                <w:sz w:val="24"/>
                <w:szCs w:val="24"/>
              </w:rPr>
              <w:t>See “A Guide for the Principal Contractor”</w:t>
            </w:r>
          </w:p>
        </w:tc>
      </w:tr>
      <w:tr w:rsidR="00807A10" w:rsidRPr="006A19AA" w14:paraId="649BFF7C" w14:textId="77777777" w:rsidTr="00C4609D">
        <w:tc>
          <w:tcPr>
            <w:tcW w:w="4219" w:type="dxa"/>
          </w:tcPr>
          <w:p w14:paraId="7C2FDFBC" w14:textId="77777777" w:rsidR="00807A10" w:rsidRPr="006A19AA" w:rsidRDefault="00807A10" w:rsidP="00C4609D">
            <w:pPr>
              <w:rPr>
                <w:rFonts w:ascii="Arial" w:hAnsi="Arial" w:cs="Arial"/>
                <w:sz w:val="24"/>
                <w:szCs w:val="24"/>
              </w:rPr>
            </w:pPr>
            <w:r w:rsidRPr="006A19AA">
              <w:rPr>
                <w:rFonts w:ascii="Arial" w:hAnsi="Arial" w:cs="Arial"/>
                <w:sz w:val="24"/>
                <w:szCs w:val="24"/>
              </w:rPr>
              <w:t>TDS Sub-contractor</w:t>
            </w:r>
          </w:p>
          <w:p w14:paraId="53A71C77" w14:textId="77777777" w:rsidR="00807A10" w:rsidRPr="006A19AA" w:rsidRDefault="00807A10" w:rsidP="00C4609D">
            <w:pPr>
              <w:rPr>
                <w:rFonts w:ascii="Arial" w:hAnsi="Arial" w:cs="Arial"/>
                <w:sz w:val="24"/>
                <w:szCs w:val="24"/>
              </w:rPr>
            </w:pPr>
          </w:p>
        </w:tc>
        <w:tc>
          <w:tcPr>
            <w:tcW w:w="2777" w:type="dxa"/>
          </w:tcPr>
          <w:p w14:paraId="4CFBF418" w14:textId="77777777" w:rsidR="00807A10" w:rsidRPr="006A19AA" w:rsidRDefault="00807A10" w:rsidP="00C4609D">
            <w:pPr>
              <w:rPr>
                <w:rFonts w:ascii="Arial" w:hAnsi="Arial" w:cs="Arial"/>
                <w:sz w:val="24"/>
                <w:szCs w:val="24"/>
              </w:rPr>
            </w:pPr>
            <w:r w:rsidRPr="006A19AA">
              <w:rPr>
                <w:rFonts w:ascii="Arial" w:hAnsi="Arial" w:cs="Arial"/>
                <w:sz w:val="24"/>
                <w:szCs w:val="24"/>
              </w:rPr>
              <w:t>Contractor</w:t>
            </w:r>
          </w:p>
        </w:tc>
        <w:tc>
          <w:tcPr>
            <w:tcW w:w="3424" w:type="dxa"/>
          </w:tcPr>
          <w:p w14:paraId="78D02803" w14:textId="77777777" w:rsidR="00807A10" w:rsidRPr="006A19AA" w:rsidRDefault="00807A10" w:rsidP="00C4609D">
            <w:r w:rsidRPr="006A19AA">
              <w:rPr>
                <w:rFonts w:ascii="Arial" w:hAnsi="Arial" w:cs="Arial"/>
                <w:sz w:val="24"/>
                <w:szCs w:val="24"/>
              </w:rPr>
              <w:t xml:space="preserve">See </w:t>
            </w:r>
            <w:proofErr w:type="gramStart"/>
            <w:r w:rsidRPr="006A19AA">
              <w:rPr>
                <w:rFonts w:ascii="Arial" w:hAnsi="Arial" w:cs="Arial"/>
                <w:sz w:val="24"/>
                <w:szCs w:val="24"/>
              </w:rPr>
              <w:t>“ A</w:t>
            </w:r>
            <w:proofErr w:type="gramEnd"/>
            <w:r w:rsidRPr="006A19AA">
              <w:rPr>
                <w:rFonts w:ascii="Arial" w:hAnsi="Arial" w:cs="Arial"/>
                <w:sz w:val="24"/>
                <w:szCs w:val="24"/>
              </w:rPr>
              <w:t xml:space="preserve"> Guide for the Principal Contractor”</w:t>
            </w:r>
          </w:p>
        </w:tc>
      </w:tr>
    </w:tbl>
    <w:p w14:paraId="4FA536C0" w14:textId="77777777" w:rsidR="00807A10" w:rsidRPr="006A19AA" w:rsidRDefault="00807A10" w:rsidP="00807A10">
      <w:pPr>
        <w:rPr>
          <w:rFonts w:ascii="Arial" w:hAnsi="Arial" w:cs="Arial"/>
          <w:sz w:val="24"/>
          <w:szCs w:val="24"/>
        </w:rPr>
      </w:pPr>
    </w:p>
    <w:p w14:paraId="10324383" w14:textId="77777777" w:rsidR="00807A10" w:rsidRPr="006A19AA" w:rsidRDefault="00807A10" w:rsidP="00807A10">
      <w:pPr>
        <w:rPr>
          <w:rFonts w:ascii="Arial" w:hAnsi="Arial" w:cs="Arial"/>
          <w:sz w:val="24"/>
          <w:szCs w:val="24"/>
        </w:rPr>
      </w:pPr>
      <w:r w:rsidRPr="006A19AA">
        <w:rPr>
          <w:rFonts w:ascii="Arial" w:hAnsi="Arial" w:cs="Arial"/>
          <w:sz w:val="24"/>
          <w:szCs w:val="24"/>
        </w:rPr>
        <w:lastRenderedPageBreak/>
        <w:t>The current process of recording the planning of any event is to produce and event plan.  The event plan covers the following:</w:t>
      </w:r>
    </w:p>
    <w:p w14:paraId="7354B14F" w14:textId="77777777" w:rsidR="00807A10" w:rsidRPr="00285889" w:rsidRDefault="00807A10" w:rsidP="00807A10">
      <w:pPr>
        <w:rPr>
          <w:rFonts w:ascii="Arial" w:hAnsi="Arial" w:cs="Arial"/>
          <w:b/>
          <w:sz w:val="24"/>
          <w:szCs w:val="24"/>
        </w:rPr>
      </w:pPr>
      <w:r w:rsidRPr="00285889">
        <w:rPr>
          <w:rFonts w:ascii="Arial" w:hAnsi="Arial" w:cs="Arial"/>
          <w:b/>
          <w:sz w:val="24"/>
          <w:szCs w:val="24"/>
        </w:rPr>
        <w:t>Table 9</w:t>
      </w:r>
    </w:p>
    <w:tbl>
      <w:tblPr>
        <w:tblStyle w:val="TableGrid2"/>
        <w:tblW w:w="0" w:type="auto"/>
        <w:tblLook w:val="04A0" w:firstRow="1" w:lastRow="0" w:firstColumn="1" w:lastColumn="0" w:noHBand="0" w:noVBand="1"/>
      </w:tblPr>
      <w:tblGrid>
        <w:gridCol w:w="4611"/>
        <w:gridCol w:w="4631"/>
      </w:tblGrid>
      <w:tr w:rsidR="00807A10" w:rsidRPr="006A19AA" w14:paraId="4222CE20" w14:textId="77777777" w:rsidTr="00C4609D">
        <w:tc>
          <w:tcPr>
            <w:tcW w:w="5210" w:type="dxa"/>
          </w:tcPr>
          <w:p w14:paraId="132310CC" w14:textId="77777777" w:rsidR="00807A10" w:rsidRPr="006A19AA" w:rsidRDefault="00807A10" w:rsidP="00C4609D">
            <w:pPr>
              <w:rPr>
                <w:rFonts w:ascii="Arial" w:hAnsi="Arial" w:cs="Arial"/>
                <w:sz w:val="24"/>
                <w:szCs w:val="24"/>
              </w:rPr>
            </w:pPr>
            <w:r w:rsidRPr="006A19AA">
              <w:rPr>
                <w:rFonts w:ascii="Arial" w:hAnsi="Arial" w:cs="Arial"/>
                <w:sz w:val="24"/>
                <w:szCs w:val="24"/>
              </w:rPr>
              <w:t>Site Details</w:t>
            </w:r>
          </w:p>
        </w:tc>
        <w:tc>
          <w:tcPr>
            <w:tcW w:w="5210" w:type="dxa"/>
          </w:tcPr>
          <w:p w14:paraId="43482791" w14:textId="77777777" w:rsidR="00807A10" w:rsidRPr="006A19AA" w:rsidRDefault="00807A10" w:rsidP="00C4609D">
            <w:pPr>
              <w:rPr>
                <w:rFonts w:ascii="Arial" w:hAnsi="Arial" w:cs="Arial"/>
                <w:sz w:val="24"/>
                <w:szCs w:val="24"/>
              </w:rPr>
            </w:pPr>
            <w:r w:rsidRPr="006A19AA">
              <w:rPr>
                <w:rFonts w:ascii="Arial" w:hAnsi="Arial" w:cs="Arial"/>
                <w:sz w:val="24"/>
                <w:szCs w:val="24"/>
              </w:rPr>
              <w:t>Staff Information/ Good Practice</w:t>
            </w:r>
          </w:p>
        </w:tc>
      </w:tr>
      <w:tr w:rsidR="00807A10" w:rsidRPr="006A19AA" w14:paraId="536730B8" w14:textId="77777777" w:rsidTr="00C4609D">
        <w:tc>
          <w:tcPr>
            <w:tcW w:w="5210" w:type="dxa"/>
          </w:tcPr>
          <w:p w14:paraId="4C4A8368" w14:textId="77777777" w:rsidR="00807A10" w:rsidRPr="006A19AA" w:rsidRDefault="00807A10" w:rsidP="00C4609D">
            <w:pPr>
              <w:rPr>
                <w:rFonts w:ascii="Arial" w:hAnsi="Arial" w:cs="Arial"/>
                <w:sz w:val="24"/>
                <w:szCs w:val="24"/>
              </w:rPr>
            </w:pPr>
            <w:r w:rsidRPr="006A19AA">
              <w:rPr>
                <w:rFonts w:ascii="Arial" w:hAnsi="Arial" w:cs="Arial"/>
                <w:sz w:val="24"/>
                <w:szCs w:val="24"/>
              </w:rPr>
              <w:t>Personnel</w:t>
            </w:r>
          </w:p>
        </w:tc>
        <w:tc>
          <w:tcPr>
            <w:tcW w:w="5210" w:type="dxa"/>
          </w:tcPr>
          <w:p w14:paraId="61A00831" w14:textId="77777777" w:rsidR="00807A10" w:rsidRPr="006A19AA" w:rsidRDefault="00807A10" w:rsidP="00C4609D">
            <w:pPr>
              <w:rPr>
                <w:rFonts w:ascii="Arial" w:hAnsi="Arial" w:cs="Arial"/>
                <w:sz w:val="24"/>
                <w:szCs w:val="24"/>
              </w:rPr>
            </w:pPr>
            <w:r w:rsidRPr="006A19AA">
              <w:rPr>
                <w:rFonts w:ascii="Arial" w:hAnsi="Arial" w:cs="Arial"/>
                <w:sz w:val="24"/>
                <w:szCs w:val="24"/>
              </w:rPr>
              <w:t>First Aid</w:t>
            </w:r>
          </w:p>
        </w:tc>
      </w:tr>
      <w:tr w:rsidR="00807A10" w:rsidRPr="006A19AA" w14:paraId="4D355A41" w14:textId="77777777" w:rsidTr="00C4609D">
        <w:tc>
          <w:tcPr>
            <w:tcW w:w="5210" w:type="dxa"/>
          </w:tcPr>
          <w:p w14:paraId="38C4D26B" w14:textId="77777777" w:rsidR="00807A10" w:rsidRPr="006A19AA" w:rsidRDefault="00807A10" w:rsidP="00C4609D">
            <w:pPr>
              <w:rPr>
                <w:rFonts w:ascii="Arial" w:hAnsi="Arial" w:cs="Arial"/>
                <w:sz w:val="24"/>
                <w:szCs w:val="24"/>
              </w:rPr>
            </w:pPr>
            <w:r w:rsidRPr="006A19AA">
              <w:rPr>
                <w:rFonts w:ascii="Arial" w:hAnsi="Arial" w:cs="Arial"/>
                <w:sz w:val="24"/>
                <w:szCs w:val="24"/>
              </w:rPr>
              <w:t>Roles &amp; Responsibilities</w:t>
            </w:r>
          </w:p>
        </w:tc>
        <w:tc>
          <w:tcPr>
            <w:tcW w:w="5210" w:type="dxa"/>
          </w:tcPr>
          <w:p w14:paraId="71C928F6" w14:textId="77777777" w:rsidR="00807A10" w:rsidRPr="006A19AA" w:rsidRDefault="00807A10" w:rsidP="00C4609D">
            <w:pPr>
              <w:rPr>
                <w:rFonts w:ascii="Arial" w:hAnsi="Arial" w:cs="Arial"/>
                <w:sz w:val="24"/>
                <w:szCs w:val="24"/>
              </w:rPr>
            </w:pPr>
            <w:r w:rsidRPr="006A19AA">
              <w:rPr>
                <w:rFonts w:ascii="Arial" w:hAnsi="Arial" w:cs="Arial"/>
                <w:sz w:val="24"/>
                <w:szCs w:val="24"/>
              </w:rPr>
              <w:t>Catering</w:t>
            </w:r>
          </w:p>
        </w:tc>
      </w:tr>
      <w:tr w:rsidR="00807A10" w:rsidRPr="006A19AA" w14:paraId="2CE4F8D6" w14:textId="77777777" w:rsidTr="00C4609D">
        <w:tc>
          <w:tcPr>
            <w:tcW w:w="5210" w:type="dxa"/>
          </w:tcPr>
          <w:p w14:paraId="12D4573E" w14:textId="77777777" w:rsidR="00807A10" w:rsidRPr="006A19AA" w:rsidRDefault="00807A10" w:rsidP="00C4609D">
            <w:pPr>
              <w:rPr>
                <w:rFonts w:ascii="Arial" w:hAnsi="Arial" w:cs="Arial"/>
                <w:sz w:val="24"/>
                <w:szCs w:val="24"/>
              </w:rPr>
            </w:pPr>
            <w:r w:rsidRPr="006A19AA">
              <w:rPr>
                <w:rFonts w:ascii="Arial" w:hAnsi="Arial" w:cs="Arial"/>
                <w:sz w:val="24"/>
                <w:szCs w:val="24"/>
              </w:rPr>
              <w:t>CDM Regulations</w:t>
            </w:r>
          </w:p>
        </w:tc>
        <w:tc>
          <w:tcPr>
            <w:tcW w:w="5210" w:type="dxa"/>
          </w:tcPr>
          <w:p w14:paraId="7723A103" w14:textId="77777777" w:rsidR="00807A10" w:rsidRPr="006A19AA" w:rsidRDefault="00807A10" w:rsidP="00C4609D">
            <w:pPr>
              <w:rPr>
                <w:rFonts w:ascii="Arial" w:hAnsi="Arial" w:cs="Arial"/>
                <w:sz w:val="24"/>
                <w:szCs w:val="24"/>
              </w:rPr>
            </w:pPr>
            <w:r w:rsidRPr="006A19AA">
              <w:rPr>
                <w:rFonts w:ascii="Arial" w:hAnsi="Arial" w:cs="Arial"/>
                <w:sz w:val="24"/>
                <w:szCs w:val="24"/>
              </w:rPr>
              <w:t>Parking</w:t>
            </w:r>
          </w:p>
        </w:tc>
      </w:tr>
      <w:tr w:rsidR="00807A10" w:rsidRPr="006A19AA" w14:paraId="0A73A613" w14:textId="77777777" w:rsidTr="00C4609D">
        <w:tc>
          <w:tcPr>
            <w:tcW w:w="5210" w:type="dxa"/>
          </w:tcPr>
          <w:p w14:paraId="672AF03F" w14:textId="77777777" w:rsidR="00807A10" w:rsidRPr="006A19AA" w:rsidRDefault="00807A10" w:rsidP="00C4609D">
            <w:pPr>
              <w:rPr>
                <w:rFonts w:ascii="Arial" w:hAnsi="Arial" w:cs="Arial"/>
                <w:sz w:val="24"/>
                <w:szCs w:val="24"/>
              </w:rPr>
            </w:pPr>
            <w:r w:rsidRPr="006A19AA">
              <w:rPr>
                <w:rFonts w:ascii="Arial" w:hAnsi="Arial" w:cs="Arial"/>
                <w:sz w:val="24"/>
                <w:szCs w:val="24"/>
              </w:rPr>
              <w:t>Communications</w:t>
            </w:r>
          </w:p>
        </w:tc>
        <w:tc>
          <w:tcPr>
            <w:tcW w:w="5210" w:type="dxa"/>
          </w:tcPr>
          <w:p w14:paraId="754F9E2A" w14:textId="77777777" w:rsidR="00807A10" w:rsidRPr="006A19AA" w:rsidRDefault="00807A10" w:rsidP="00C4609D">
            <w:pPr>
              <w:rPr>
                <w:rFonts w:ascii="Arial" w:hAnsi="Arial" w:cs="Arial"/>
                <w:sz w:val="24"/>
                <w:szCs w:val="24"/>
              </w:rPr>
            </w:pPr>
            <w:r w:rsidRPr="006A19AA">
              <w:rPr>
                <w:rFonts w:ascii="Arial" w:hAnsi="Arial" w:cs="Arial"/>
                <w:sz w:val="24"/>
                <w:szCs w:val="24"/>
              </w:rPr>
              <w:t>Provision for people with special needs</w:t>
            </w:r>
          </w:p>
        </w:tc>
      </w:tr>
      <w:tr w:rsidR="00807A10" w:rsidRPr="006A19AA" w14:paraId="54C49602" w14:textId="77777777" w:rsidTr="00C4609D">
        <w:tc>
          <w:tcPr>
            <w:tcW w:w="5210" w:type="dxa"/>
          </w:tcPr>
          <w:p w14:paraId="11B6E146" w14:textId="77777777" w:rsidR="00807A10" w:rsidRPr="006A19AA" w:rsidRDefault="00807A10" w:rsidP="00C4609D">
            <w:pPr>
              <w:rPr>
                <w:rFonts w:ascii="Arial" w:hAnsi="Arial" w:cs="Arial"/>
                <w:sz w:val="24"/>
                <w:szCs w:val="24"/>
              </w:rPr>
            </w:pPr>
            <w:r w:rsidRPr="006A19AA">
              <w:rPr>
                <w:rFonts w:ascii="Arial" w:hAnsi="Arial" w:cs="Arial"/>
                <w:sz w:val="24"/>
                <w:szCs w:val="24"/>
              </w:rPr>
              <w:t>Infrastructure</w:t>
            </w:r>
          </w:p>
          <w:p w14:paraId="2FED0103" w14:textId="77777777" w:rsidR="00807A10" w:rsidRPr="006A19AA" w:rsidRDefault="00807A10" w:rsidP="00807A10">
            <w:pPr>
              <w:numPr>
                <w:ilvl w:val="0"/>
                <w:numId w:val="2"/>
              </w:numPr>
              <w:spacing w:after="0" w:line="240" w:lineRule="auto"/>
              <w:contextualSpacing/>
              <w:rPr>
                <w:rFonts w:ascii="Arial" w:hAnsi="Arial" w:cs="Arial"/>
                <w:sz w:val="24"/>
                <w:szCs w:val="24"/>
              </w:rPr>
            </w:pPr>
            <w:r w:rsidRPr="006A19AA">
              <w:rPr>
                <w:rFonts w:ascii="Arial" w:hAnsi="Arial" w:cs="Arial"/>
                <w:sz w:val="24"/>
                <w:szCs w:val="24"/>
              </w:rPr>
              <w:t>Site setup and strip-out arrangement</w:t>
            </w:r>
          </w:p>
          <w:p w14:paraId="324CADFA" w14:textId="77777777" w:rsidR="00807A10" w:rsidRPr="006A19AA" w:rsidRDefault="00807A10" w:rsidP="00807A10">
            <w:pPr>
              <w:numPr>
                <w:ilvl w:val="0"/>
                <w:numId w:val="2"/>
              </w:numPr>
              <w:spacing w:after="0" w:line="240" w:lineRule="auto"/>
              <w:contextualSpacing/>
              <w:rPr>
                <w:rFonts w:ascii="Arial" w:hAnsi="Arial" w:cs="Arial"/>
                <w:sz w:val="24"/>
                <w:szCs w:val="24"/>
              </w:rPr>
            </w:pPr>
            <w:r w:rsidRPr="006A19AA">
              <w:rPr>
                <w:rFonts w:ascii="Arial" w:hAnsi="Arial" w:cs="Arial"/>
                <w:sz w:val="24"/>
                <w:szCs w:val="24"/>
              </w:rPr>
              <w:t>Backstage facilities and fencing</w:t>
            </w:r>
            <w:r w:rsidRPr="006A19AA">
              <w:rPr>
                <w:rFonts w:ascii="Arial" w:hAnsi="Arial" w:cs="Arial"/>
                <w:sz w:val="24"/>
                <w:szCs w:val="24"/>
              </w:rPr>
              <w:tab/>
            </w:r>
          </w:p>
          <w:p w14:paraId="42BB1A26" w14:textId="77777777" w:rsidR="00807A10" w:rsidRPr="006A19AA" w:rsidRDefault="00807A10" w:rsidP="00807A10">
            <w:pPr>
              <w:numPr>
                <w:ilvl w:val="0"/>
                <w:numId w:val="2"/>
              </w:numPr>
              <w:spacing w:after="0" w:line="240" w:lineRule="auto"/>
              <w:contextualSpacing/>
              <w:rPr>
                <w:rFonts w:ascii="Arial" w:hAnsi="Arial" w:cs="Arial"/>
                <w:sz w:val="24"/>
                <w:szCs w:val="24"/>
              </w:rPr>
            </w:pPr>
            <w:r w:rsidRPr="006A19AA">
              <w:rPr>
                <w:rFonts w:ascii="Arial" w:hAnsi="Arial" w:cs="Arial"/>
                <w:sz w:val="24"/>
                <w:szCs w:val="24"/>
              </w:rPr>
              <w:t>Toilets</w:t>
            </w:r>
            <w:r w:rsidRPr="006A19AA">
              <w:rPr>
                <w:rFonts w:ascii="Arial" w:hAnsi="Arial" w:cs="Arial"/>
                <w:sz w:val="24"/>
                <w:szCs w:val="24"/>
              </w:rPr>
              <w:tab/>
            </w:r>
            <w:r w:rsidRPr="006A19AA">
              <w:rPr>
                <w:rFonts w:ascii="Arial" w:hAnsi="Arial" w:cs="Arial"/>
                <w:sz w:val="24"/>
                <w:szCs w:val="24"/>
              </w:rPr>
              <w:tab/>
            </w:r>
            <w:r w:rsidRPr="006A19AA">
              <w:rPr>
                <w:rFonts w:ascii="Arial" w:hAnsi="Arial" w:cs="Arial"/>
                <w:sz w:val="24"/>
                <w:szCs w:val="24"/>
              </w:rPr>
              <w:tab/>
            </w:r>
            <w:r w:rsidRPr="006A19AA">
              <w:rPr>
                <w:rFonts w:ascii="Arial" w:hAnsi="Arial" w:cs="Arial"/>
                <w:sz w:val="24"/>
                <w:szCs w:val="24"/>
              </w:rPr>
              <w:tab/>
            </w:r>
            <w:r w:rsidRPr="006A19AA">
              <w:rPr>
                <w:rFonts w:ascii="Arial" w:hAnsi="Arial" w:cs="Arial"/>
                <w:sz w:val="24"/>
                <w:szCs w:val="24"/>
              </w:rPr>
              <w:tab/>
            </w:r>
          </w:p>
          <w:p w14:paraId="1EE704D7" w14:textId="77777777" w:rsidR="00807A10" w:rsidRPr="006A19AA" w:rsidRDefault="00807A10" w:rsidP="00807A10">
            <w:pPr>
              <w:numPr>
                <w:ilvl w:val="0"/>
                <w:numId w:val="2"/>
              </w:numPr>
              <w:spacing w:after="0" w:line="240" w:lineRule="auto"/>
              <w:contextualSpacing/>
              <w:rPr>
                <w:rFonts w:ascii="Arial" w:hAnsi="Arial" w:cs="Arial"/>
                <w:sz w:val="24"/>
                <w:szCs w:val="24"/>
              </w:rPr>
            </w:pPr>
            <w:r w:rsidRPr="006A19AA">
              <w:rPr>
                <w:rFonts w:ascii="Arial" w:hAnsi="Arial" w:cs="Arial"/>
                <w:sz w:val="24"/>
                <w:szCs w:val="24"/>
              </w:rPr>
              <w:t>Power provision</w:t>
            </w:r>
            <w:r w:rsidRPr="006A19AA">
              <w:rPr>
                <w:rFonts w:ascii="Arial" w:hAnsi="Arial" w:cs="Arial"/>
                <w:sz w:val="24"/>
                <w:szCs w:val="24"/>
              </w:rPr>
              <w:tab/>
            </w:r>
            <w:r w:rsidRPr="006A19AA">
              <w:rPr>
                <w:rFonts w:ascii="Arial" w:hAnsi="Arial" w:cs="Arial"/>
                <w:sz w:val="24"/>
                <w:szCs w:val="24"/>
              </w:rPr>
              <w:tab/>
            </w:r>
            <w:r w:rsidRPr="006A19AA">
              <w:rPr>
                <w:rFonts w:ascii="Arial" w:hAnsi="Arial" w:cs="Arial"/>
                <w:sz w:val="24"/>
                <w:szCs w:val="24"/>
              </w:rPr>
              <w:tab/>
            </w:r>
          </w:p>
          <w:p w14:paraId="1FB16833" w14:textId="77777777" w:rsidR="00807A10" w:rsidRPr="006A19AA" w:rsidRDefault="00807A10" w:rsidP="00807A10">
            <w:pPr>
              <w:numPr>
                <w:ilvl w:val="0"/>
                <w:numId w:val="2"/>
              </w:numPr>
              <w:spacing w:after="0" w:line="240" w:lineRule="auto"/>
              <w:contextualSpacing/>
              <w:rPr>
                <w:rFonts w:ascii="Arial" w:hAnsi="Arial" w:cs="Arial"/>
                <w:sz w:val="24"/>
                <w:szCs w:val="24"/>
              </w:rPr>
            </w:pPr>
            <w:r w:rsidRPr="006A19AA">
              <w:rPr>
                <w:rFonts w:ascii="Arial" w:hAnsi="Arial" w:cs="Arial"/>
                <w:sz w:val="24"/>
                <w:szCs w:val="24"/>
              </w:rPr>
              <w:t>Handover of infrastructure</w:t>
            </w:r>
            <w:r w:rsidRPr="006A19AA">
              <w:rPr>
                <w:rFonts w:ascii="Arial" w:hAnsi="Arial" w:cs="Arial"/>
                <w:sz w:val="24"/>
                <w:szCs w:val="24"/>
              </w:rPr>
              <w:tab/>
            </w:r>
            <w:r w:rsidRPr="006A19AA">
              <w:rPr>
                <w:rFonts w:ascii="Arial" w:hAnsi="Arial" w:cs="Arial"/>
                <w:sz w:val="24"/>
                <w:szCs w:val="24"/>
              </w:rPr>
              <w:tab/>
            </w:r>
          </w:p>
          <w:p w14:paraId="73F739ED" w14:textId="77777777" w:rsidR="00807A10" w:rsidRPr="006A19AA" w:rsidRDefault="00807A10" w:rsidP="00807A10">
            <w:pPr>
              <w:numPr>
                <w:ilvl w:val="0"/>
                <w:numId w:val="2"/>
              </w:numPr>
              <w:spacing w:after="0" w:line="240" w:lineRule="auto"/>
              <w:contextualSpacing/>
              <w:rPr>
                <w:rFonts w:ascii="Arial" w:hAnsi="Arial" w:cs="Arial"/>
                <w:sz w:val="24"/>
                <w:szCs w:val="24"/>
              </w:rPr>
            </w:pPr>
            <w:r w:rsidRPr="006A19AA">
              <w:rPr>
                <w:rFonts w:ascii="Arial" w:hAnsi="Arial" w:cs="Arial"/>
                <w:sz w:val="24"/>
                <w:szCs w:val="24"/>
              </w:rPr>
              <w:t>Removal / strip out of equipment</w:t>
            </w:r>
            <w:r w:rsidRPr="006A19AA">
              <w:rPr>
                <w:rFonts w:ascii="Arial" w:hAnsi="Arial" w:cs="Arial"/>
                <w:sz w:val="24"/>
                <w:szCs w:val="24"/>
              </w:rPr>
              <w:tab/>
            </w:r>
          </w:p>
          <w:p w14:paraId="6E762B49" w14:textId="77777777" w:rsidR="00807A10" w:rsidRPr="006A19AA" w:rsidRDefault="00807A10" w:rsidP="00807A10">
            <w:pPr>
              <w:numPr>
                <w:ilvl w:val="0"/>
                <w:numId w:val="2"/>
              </w:numPr>
              <w:spacing w:after="0" w:line="240" w:lineRule="auto"/>
              <w:contextualSpacing/>
              <w:rPr>
                <w:rFonts w:ascii="Arial" w:hAnsi="Arial" w:cs="Arial"/>
                <w:sz w:val="24"/>
                <w:szCs w:val="24"/>
              </w:rPr>
            </w:pPr>
            <w:r w:rsidRPr="006A19AA">
              <w:rPr>
                <w:rFonts w:ascii="Arial" w:hAnsi="Arial" w:cs="Arial"/>
                <w:sz w:val="24"/>
                <w:szCs w:val="24"/>
              </w:rPr>
              <w:t>Contractor induction guidelines</w:t>
            </w:r>
            <w:r w:rsidRPr="006A19AA">
              <w:rPr>
                <w:rFonts w:ascii="Arial" w:hAnsi="Arial" w:cs="Arial"/>
                <w:sz w:val="24"/>
                <w:szCs w:val="24"/>
              </w:rPr>
              <w:tab/>
            </w:r>
            <w:r w:rsidRPr="006A19AA">
              <w:rPr>
                <w:rFonts w:ascii="Arial" w:hAnsi="Arial" w:cs="Arial"/>
                <w:sz w:val="24"/>
                <w:szCs w:val="24"/>
              </w:rPr>
              <w:tab/>
            </w:r>
          </w:p>
        </w:tc>
        <w:tc>
          <w:tcPr>
            <w:tcW w:w="5210" w:type="dxa"/>
          </w:tcPr>
          <w:p w14:paraId="466788D4" w14:textId="77777777" w:rsidR="00807A10" w:rsidRPr="006A19AA" w:rsidRDefault="00807A10" w:rsidP="00C4609D">
            <w:pPr>
              <w:rPr>
                <w:rFonts w:ascii="Arial" w:hAnsi="Arial" w:cs="Arial"/>
                <w:sz w:val="24"/>
                <w:szCs w:val="24"/>
              </w:rPr>
            </w:pPr>
            <w:r w:rsidRPr="006A19AA">
              <w:rPr>
                <w:rFonts w:ascii="Arial" w:hAnsi="Arial" w:cs="Arial"/>
                <w:sz w:val="24"/>
                <w:szCs w:val="24"/>
              </w:rPr>
              <w:t>Emergency Management arrangements</w:t>
            </w:r>
          </w:p>
          <w:p w14:paraId="0CF909DB" w14:textId="77777777" w:rsidR="00807A10" w:rsidRPr="006A19AA" w:rsidRDefault="00807A10" w:rsidP="00807A10">
            <w:pPr>
              <w:numPr>
                <w:ilvl w:val="0"/>
                <w:numId w:val="3"/>
              </w:numPr>
              <w:spacing w:after="0" w:line="240" w:lineRule="auto"/>
              <w:contextualSpacing/>
              <w:rPr>
                <w:rFonts w:ascii="Arial" w:hAnsi="Arial" w:cs="Arial"/>
                <w:sz w:val="24"/>
                <w:szCs w:val="24"/>
              </w:rPr>
            </w:pPr>
            <w:r w:rsidRPr="006A19AA">
              <w:rPr>
                <w:rFonts w:ascii="Arial" w:hAnsi="Arial" w:cs="Arial"/>
                <w:sz w:val="24"/>
                <w:szCs w:val="24"/>
              </w:rPr>
              <w:t>Emergency Situations</w:t>
            </w:r>
            <w:r w:rsidRPr="006A19AA">
              <w:rPr>
                <w:rFonts w:ascii="Arial" w:hAnsi="Arial" w:cs="Arial"/>
                <w:sz w:val="24"/>
                <w:szCs w:val="24"/>
              </w:rPr>
              <w:tab/>
            </w:r>
            <w:r w:rsidRPr="006A19AA">
              <w:rPr>
                <w:rFonts w:ascii="Arial" w:hAnsi="Arial" w:cs="Arial"/>
                <w:sz w:val="24"/>
                <w:szCs w:val="24"/>
              </w:rPr>
              <w:tab/>
            </w:r>
          </w:p>
          <w:p w14:paraId="48FBCC0F" w14:textId="77777777" w:rsidR="00807A10" w:rsidRPr="006A19AA" w:rsidRDefault="00807A10" w:rsidP="00807A10">
            <w:pPr>
              <w:numPr>
                <w:ilvl w:val="0"/>
                <w:numId w:val="3"/>
              </w:numPr>
              <w:spacing w:after="0" w:line="240" w:lineRule="auto"/>
              <w:contextualSpacing/>
              <w:rPr>
                <w:rFonts w:ascii="Arial" w:hAnsi="Arial" w:cs="Arial"/>
                <w:sz w:val="24"/>
                <w:szCs w:val="24"/>
              </w:rPr>
            </w:pPr>
            <w:r w:rsidRPr="006A19AA">
              <w:rPr>
                <w:rFonts w:ascii="Arial" w:hAnsi="Arial" w:cs="Arial"/>
                <w:sz w:val="24"/>
                <w:szCs w:val="24"/>
              </w:rPr>
              <w:t>Emergency response arrangements</w:t>
            </w:r>
          </w:p>
          <w:p w14:paraId="7ED02972" w14:textId="77777777" w:rsidR="00807A10" w:rsidRPr="006A19AA" w:rsidRDefault="00807A10" w:rsidP="00807A10">
            <w:pPr>
              <w:numPr>
                <w:ilvl w:val="0"/>
                <w:numId w:val="3"/>
              </w:numPr>
              <w:spacing w:after="0" w:line="240" w:lineRule="auto"/>
              <w:contextualSpacing/>
              <w:rPr>
                <w:rFonts w:ascii="Arial" w:hAnsi="Arial" w:cs="Arial"/>
                <w:sz w:val="24"/>
                <w:szCs w:val="24"/>
              </w:rPr>
            </w:pPr>
            <w:r w:rsidRPr="006A19AA">
              <w:rPr>
                <w:rFonts w:ascii="Arial" w:hAnsi="Arial" w:cs="Arial"/>
                <w:sz w:val="24"/>
                <w:szCs w:val="24"/>
              </w:rPr>
              <w:t>Bomb Threat &amp; Search Procedure</w:t>
            </w:r>
          </w:p>
          <w:p w14:paraId="12D2FDFE" w14:textId="77777777" w:rsidR="00807A10" w:rsidRPr="006A19AA" w:rsidRDefault="00807A10" w:rsidP="00807A10">
            <w:pPr>
              <w:numPr>
                <w:ilvl w:val="0"/>
                <w:numId w:val="3"/>
              </w:numPr>
              <w:spacing w:after="0" w:line="240" w:lineRule="auto"/>
              <w:contextualSpacing/>
              <w:rPr>
                <w:rFonts w:ascii="Arial" w:hAnsi="Arial" w:cs="Arial"/>
                <w:sz w:val="24"/>
                <w:szCs w:val="24"/>
              </w:rPr>
            </w:pPr>
            <w:r w:rsidRPr="006A19AA">
              <w:rPr>
                <w:rFonts w:ascii="Arial" w:hAnsi="Arial" w:cs="Arial"/>
                <w:sz w:val="24"/>
                <w:szCs w:val="24"/>
              </w:rPr>
              <w:t>Fire Hazards</w:t>
            </w:r>
            <w:r w:rsidRPr="006A19AA">
              <w:rPr>
                <w:rFonts w:ascii="Arial" w:hAnsi="Arial" w:cs="Arial"/>
                <w:sz w:val="24"/>
                <w:szCs w:val="24"/>
              </w:rPr>
              <w:tab/>
            </w:r>
            <w:r w:rsidRPr="006A19AA">
              <w:rPr>
                <w:rFonts w:ascii="Arial" w:hAnsi="Arial" w:cs="Arial"/>
                <w:sz w:val="24"/>
                <w:szCs w:val="24"/>
              </w:rPr>
              <w:tab/>
            </w:r>
            <w:r w:rsidRPr="006A19AA">
              <w:rPr>
                <w:rFonts w:ascii="Arial" w:hAnsi="Arial" w:cs="Arial"/>
                <w:sz w:val="24"/>
                <w:szCs w:val="24"/>
              </w:rPr>
              <w:tab/>
            </w:r>
            <w:r w:rsidRPr="006A19AA">
              <w:rPr>
                <w:rFonts w:ascii="Arial" w:hAnsi="Arial" w:cs="Arial"/>
                <w:sz w:val="24"/>
                <w:szCs w:val="24"/>
              </w:rPr>
              <w:tab/>
            </w:r>
          </w:p>
          <w:p w14:paraId="4366AB40" w14:textId="77777777" w:rsidR="00807A10" w:rsidRPr="006A19AA" w:rsidRDefault="00807A10" w:rsidP="00807A10">
            <w:pPr>
              <w:numPr>
                <w:ilvl w:val="0"/>
                <w:numId w:val="3"/>
              </w:numPr>
              <w:spacing w:after="0" w:line="240" w:lineRule="auto"/>
              <w:contextualSpacing/>
              <w:rPr>
                <w:rFonts w:ascii="Arial" w:hAnsi="Arial" w:cs="Arial"/>
                <w:sz w:val="24"/>
                <w:szCs w:val="24"/>
              </w:rPr>
            </w:pPr>
            <w:r w:rsidRPr="006A19AA">
              <w:rPr>
                <w:rFonts w:ascii="Arial" w:hAnsi="Arial" w:cs="Arial"/>
                <w:sz w:val="24"/>
                <w:szCs w:val="24"/>
              </w:rPr>
              <w:t>Weather conditions</w:t>
            </w:r>
            <w:r w:rsidRPr="006A19AA">
              <w:rPr>
                <w:rFonts w:ascii="Arial" w:hAnsi="Arial" w:cs="Arial"/>
                <w:sz w:val="24"/>
                <w:szCs w:val="24"/>
              </w:rPr>
              <w:tab/>
            </w:r>
          </w:p>
        </w:tc>
      </w:tr>
      <w:tr w:rsidR="00807A10" w:rsidRPr="006A19AA" w14:paraId="6A17C411" w14:textId="77777777" w:rsidTr="00C4609D">
        <w:tc>
          <w:tcPr>
            <w:tcW w:w="5210" w:type="dxa"/>
          </w:tcPr>
          <w:p w14:paraId="14BBA9D0" w14:textId="77777777" w:rsidR="00807A10" w:rsidRPr="006A19AA" w:rsidRDefault="00807A10" w:rsidP="00C4609D">
            <w:pPr>
              <w:rPr>
                <w:rFonts w:ascii="Arial" w:hAnsi="Arial" w:cs="Arial"/>
                <w:sz w:val="24"/>
                <w:szCs w:val="24"/>
              </w:rPr>
            </w:pPr>
            <w:r w:rsidRPr="006A19AA">
              <w:rPr>
                <w:rFonts w:ascii="Arial" w:hAnsi="Arial" w:cs="Arial"/>
                <w:sz w:val="24"/>
                <w:szCs w:val="24"/>
              </w:rPr>
              <w:t>Audience Profile</w:t>
            </w:r>
          </w:p>
        </w:tc>
        <w:tc>
          <w:tcPr>
            <w:tcW w:w="5210" w:type="dxa"/>
          </w:tcPr>
          <w:p w14:paraId="7E6E574B" w14:textId="77777777" w:rsidR="00807A10" w:rsidRPr="006A19AA" w:rsidRDefault="00807A10" w:rsidP="00C4609D">
            <w:pPr>
              <w:rPr>
                <w:rFonts w:ascii="Arial" w:hAnsi="Arial" w:cs="Arial"/>
                <w:sz w:val="24"/>
                <w:szCs w:val="24"/>
              </w:rPr>
            </w:pPr>
            <w:r w:rsidRPr="006A19AA">
              <w:rPr>
                <w:rFonts w:ascii="Arial" w:hAnsi="Arial" w:cs="Arial"/>
                <w:sz w:val="24"/>
                <w:szCs w:val="24"/>
              </w:rPr>
              <w:t>Cleansing</w:t>
            </w:r>
          </w:p>
        </w:tc>
      </w:tr>
      <w:tr w:rsidR="00807A10" w:rsidRPr="006A19AA" w14:paraId="41B88096" w14:textId="77777777" w:rsidTr="00C4609D">
        <w:tc>
          <w:tcPr>
            <w:tcW w:w="5210" w:type="dxa"/>
          </w:tcPr>
          <w:p w14:paraId="2CC9A8B4" w14:textId="77777777" w:rsidR="00807A10" w:rsidRPr="006A19AA" w:rsidRDefault="00807A10" w:rsidP="00C4609D">
            <w:pPr>
              <w:rPr>
                <w:rFonts w:ascii="Arial" w:hAnsi="Arial" w:cs="Arial"/>
                <w:sz w:val="24"/>
                <w:szCs w:val="24"/>
              </w:rPr>
            </w:pPr>
            <w:r w:rsidRPr="006A19AA">
              <w:rPr>
                <w:rFonts w:ascii="Arial" w:hAnsi="Arial" w:cs="Arial"/>
                <w:sz w:val="24"/>
                <w:szCs w:val="24"/>
              </w:rPr>
              <w:t>Artist Profile</w:t>
            </w:r>
          </w:p>
        </w:tc>
        <w:tc>
          <w:tcPr>
            <w:tcW w:w="5210" w:type="dxa"/>
          </w:tcPr>
          <w:p w14:paraId="4F59C3C7" w14:textId="77777777" w:rsidR="00807A10" w:rsidRPr="006A19AA" w:rsidRDefault="00807A10" w:rsidP="00C4609D">
            <w:pPr>
              <w:rPr>
                <w:rFonts w:ascii="Arial" w:hAnsi="Arial" w:cs="Arial"/>
                <w:sz w:val="24"/>
                <w:szCs w:val="24"/>
              </w:rPr>
            </w:pPr>
            <w:r w:rsidRPr="006A19AA">
              <w:rPr>
                <w:rFonts w:ascii="Arial" w:hAnsi="Arial" w:cs="Arial"/>
                <w:sz w:val="24"/>
                <w:szCs w:val="24"/>
              </w:rPr>
              <w:t>Lost Children</w:t>
            </w:r>
          </w:p>
        </w:tc>
      </w:tr>
      <w:tr w:rsidR="00807A10" w:rsidRPr="006A19AA" w14:paraId="021DB460" w14:textId="77777777" w:rsidTr="00C4609D">
        <w:tc>
          <w:tcPr>
            <w:tcW w:w="5210" w:type="dxa"/>
          </w:tcPr>
          <w:p w14:paraId="5E29C56B" w14:textId="77777777" w:rsidR="00807A10" w:rsidRPr="006A19AA" w:rsidRDefault="00807A10" w:rsidP="00C4609D">
            <w:pPr>
              <w:rPr>
                <w:rFonts w:ascii="Arial" w:hAnsi="Arial" w:cs="Arial"/>
                <w:sz w:val="24"/>
                <w:szCs w:val="24"/>
              </w:rPr>
            </w:pPr>
            <w:r w:rsidRPr="006A19AA">
              <w:rPr>
                <w:rFonts w:ascii="Arial" w:hAnsi="Arial" w:cs="Arial"/>
                <w:sz w:val="24"/>
                <w:szCs w:val="24"/>
              </w:rPr>
              <w:t>Crowd Management</w:t>
            </w:r>
          </w:p>
        </w:tc>
        <w:tc>
          <w:tcPr>
            <w:tcW w:w="5210" w:type="dxa"/>
          </w:tcPr>
          <w:p w14:paraId="03878C4A" w14:textId="77777777" w:rsidR="00807A10" w:rsidRPr="006A19AA" w:rsidRDefault="00807A10" w:rsidP="00C4609D">
            <w:pPr>
              <w:rPr>
                <w:rFonts w:ascii="Arial" w:hAnsi="Arial" w:cs="Arial"/>
                <w:sz w:val="24"/>
                <w:szCs w:val="24"/>
              </w:rPr>
            </w:pPr>
            <w:r w:rsidRPr="006A19AA">
              <w:rPr>
                <w:rFonts w:ascii="Arial" w:hAnsi="Arial" w:cs="Arial"/>
                <w:sz w:val="24"/>
                <w:szCs w:val="24"/>
              </w:rPr>
              <w:t>Illegal Trading</w:t>
            </w:r>
          </w:p>
        </w:tc>
      </w:tr>
      <w:tr w:rsidR="00807A10" w:rsidRPr="006A19AA" w14:paraId="614C0851" w14:textId="77777777" w:rsidTr="00C4609D">
        <w:tc>
          <w:tcPr>
            <w:tcW w:w="5210" w:type="dxa"/>
          </w:tcPr>
          <w:p w14:paraId="489D70E9" w14:textId="77777777" w:rsidR="00807A10" w:rsidRPr="006A19AA" w:rsidRDefault="00807A10" w:rsidP="00C4609D">
            <w:pPr>
              <w:rPr>
                <w:rFonts w:ascii="Arial" w:hAnsi="Arial" w:cs="Arial"/>
                <w:sz w:val="24"/>
                <w:szCs w:val="24"/>
              </w:rPr>
            </w:pPr>
            <w:r w:rsidRPr="006A19AA">
              <w:rPr>
                <w:rFonts w:ascii="Arial" w:hAnsi="Arial" w:cs="Arial"/>
                <w:sz w:val="24"/>
                <w:szCs w:val="24"/>
              </w:rPr>
              <w:t>Noise Management</w:t>
            </w:r>
          </w:p>
        </w:tc>
        <w:tc>
          <w:tcPr>
            <w:tcW w:w="5210" w:type="dxa"/>
          </w:tcPr>
          <w:p w14:paraId="5B0170AA" w14:textId="77777777" w:rsidR="00807A10" w:rsidRPr="006A19AA" w:rsidRDefault="00807A10" w:rsidP="00C4609D">
            <w:pPr>
              <w:rPr>
                <w:rFonts w:ascii="Arial" w:hAnsi="Arial" w:cs="Arial"/>
                <w:sz w:val="24"/>
                <w:szCs w:val="24"/>
              </w:rPr>
            </w:pPr>
            <w:r w:rsidRPr="006A19AA">
              <w:rPr>
                <w:rFonts w:ascii="Arial" w:hAnsi="Arial" w:cs="Arial"/>
                <w:sz w:val="24"/>
                <w:szCs w:val="24"/>
              </w:rPr>
              <w:t>Event Cancellation</w:t>
            </w:r>
          </w:p>
        </w:tc>
      </w:tr>
    </w:tbl>
    <w:p w14:paraId="3CE7EE1B" w14:textId="77777777" w:rsidR="00807A10" w:rsidRPr="006A19AA" w:rsidRDefault="00807A10" w:rsidP="00807A10">
      <w:pPr>
        <w:rPr>
          <w:rFonts w:ascii="Arial" w:hAnsi="Arial" w:cs="Arial"/>
          <w:sz w:val="24"/>
          <w:szCs w:val="24"/>
        </w:rPr>
      </w:pPr>
    </w:p>
    <w:p w14:paraId="28A6641E" w14:textId="77777777" w:rsidR="00807A10" w:rsidRPr="006A19AA" w:rsidRDefault="00807A10" w:rsidP="00807A10">
      <w:pPr>
        <w:rPr>
          <w:rFonts w:ascii="Arial" w:hAnsi="Arial" w:cs="Arial"/>
          <w:sz w:val="24"/>
          <w:szCs w:val="24"/>
        </w:rPr>
      </w:pPr>
      <w:r w:rsidRPr="006A19AA">
        <w:rPr>
          <w:rFonts w:ascii="Arial" w:hAnsi="Arial" w:cs="Arial"/>
          <w:sz w:val="24"/>
          <w:szCs w:val="24"/>
        </w:rPr>
        <w:t>The event plan is a comprehensive guidance document for running the event, and for CDM 2015 purposes the content covers all the area expected in a pre-construction information pack, therefore it must be given to the Principal Contractor (TDS), in sufficient time for them to formulate a Construction Phase Plan.</w:t>
      </w:r>
    </w:p>
    <w:p w14:paraId="125B925E" w14:textId="77777777" w:rsidR="00807A10" w:rsidRPr="006A19AA" w:rsidRDefault="00807A10" w:rsidP="00807A10">
      <w:pPr>
        <w:spacing w:after="0" w:line="240" w:lineRule="auto"/>
        <w:jc w:val="both"/>
        <w:rPr>
          <w:rFonts w:ascii="Arial" w:eastAsia="Times New Roman" w:hAnsi="Arial" w:cs="Arial"/>
          <w:sz w:val="24"/>
          <w:szCs w:val="24"/>
        </w:rPr>
      </w:pPr>
      <w:r w:rsidRPr="006A19AA">
        <w:rPr>
          <w:rFonts w:ascii="Arial" w:eastAsia="Times New Roman" w:hAnsi="Arial" w:cs="Arial"/>
          <w:sz w:val="24"/>
          <w:szCs w:val="24"/>
        </w:rPr>
        <w:t>The CDM Regulations 2015 recognise three distinct phases to any construction project (see policy document 3.20) as identified in the table below.</w:t>
      </w:r>
    </w:p>
    <w:p w14:paraId="5E0ACDDA" w14:textId="77777777" w:rsidR="00807A10" w:rsidRPr="006A19AA" w:rsidRDefault="00807A10" w:rsidP="00807A10">
      <w:pPr>
        <w:spacing w:after="0" w:line="240" w:lineRule="auto"/>
        <w:jc w:val="both"/>
        <w:rPr>
          <w:rFonts w:ascii="Arial" w:eastAsia="Times New Roman" w:hAnsi="Arial" w:cs="Arial"/>
          <w:sz w:val="24"/>
          <w:szCs w:val="24"/>
        </w:rPr>
      </w:pPr>
    </w:p>
    <w:p w14:paraId="5F881CC1" w14:textId="77777777" w:rsidR="00807A10" w:rsidRPr="006A19AA" w:rsidRDefault="00807A10" w:rsidP="00807A10">
      <w:pPr>
        <w:spacing w:after="0" w:line="240" w:lineRule="auto"/>
        <w:jc w:val="both"/>
        <w:rPr>
          <w:rFonts w:ascii="Arial" w:eastAsia="Times New Roman" w:hAnsi="Arial" w:cs="Arial"/>
          <w:sz w:val="24"/>
          <w:szCs w:val="24"/>
        </w:rPr>
      </w:pPr>
      <w:r w:rsidRPr="006A19AA">
        <w:rPr>
          <w:rFonts w:ascii="Arial" w:eastAsia="Times New Roman" w:hAnsi="Arial" w:cs="Arial"/>
          <w:sz w:val="24"/>
          <w:szCs w:val="24"/>
        </w:rPr>
        <w:t xml:space="preserve">In event planning </w:t>
      </w:r>
      <w:proofErr w:type="gramStart"/>
      <w:r w:rsidRPr="006A19AA">
        <w:rPr>
          <w:rFonts w:ascii="Arial" w:eastAsia="Times New Roman" w:hAnsi="Arial" w:cs="Arial"/>
          <w:sz w:val="24"/>
          <w:szCs w:val="24"/>
        </w:rPr>
        <w:t>those phase</w:t>
      </w:r>
      <w:proofErr w:type="gramEnd"/>
      <w:r w:rsidRPr="006A19AA">
        <w:rPr>
          <w:rFonts w:ascii="Arial" w:eastAsia="Times New Roman" w:hAnsi="Arial" w:cs="Arial"/>
          <w:sz w:val="24"/>
          <w:szCs w:val="24"/>
        </w:rPr>
        <w:t xml:space="preserve"> have an equivalent also detailed in the table below.</w:t>
      </w:r>
    </w:p>
    <w:p w14:paraId="03C3FBEC" w14:textId="77777777" w:rsidR="00807A10" w:rsidRPr="006A19AA" w:rsidRDefault="00807A10" w:rsidP="00807A10">
      <w:pPr>
        <w:spacing w:after="0" w:line="240" w:lineRule="auto"/>
        <w:jc w:val="both"/>
        <w:rPr>
          <w:rFonts w:ascii="Arial" w:eastAsia="Times New Roman" w:hAnsi="Arial" w:cs="Arial"/>
          <w:b/>
          <w:color w:val="003300"/>
          <w:sz w:val="24"/>
          <w:szCs w:val="24"/>
        </w:rPr>
      </w:pPr>
    </w:p>
    <w:p w14:paraId="10A43E1E" w14:textId="77777777" w:rsidR="00807A10" w:rsidRDefault="00807A10" w:rsidP="00807A10">
      <w:pPr>
        <w:spacing w:after="0" w:line="240" w:lineRule="auto"/>
        <w:jc w:val="both"/>
        <w:rPr>
          <w:rFonts w:ascii="Arial" w:eastAsia="Times New Roman" w:hAnsi="Arial" w:cs="Arial"/>
          <w:b/>
          <w:sz w:val="24"/>
          <w:szCs w:val="24"/>
        </w:rPr>
      </w:pPr>
      <w:r w:rsidRPr="00285889">
        <w:rPr>
          <w:rFonts w:ascii="Arial" w:eastAsia="Times New Roman" w:hAnsi="Arial" w:cs="Arial"/>
          <w:b/>
          <w:sz w:val="24"/>
          <w:szCs w:val="24"/>
        </w:rPr>
        <w:t>Table 10</w:t>
      </w:r>
    </w:p>
    <w:p w14:paraId="07EFACEA" w14:textId="77777777" w:rsidR="00807A10" w:rsidRPr="00285889" w:rsidRDefault="00807A10" w:rsidP="00807A10">
      <w:pPr>
        <w:spacing w:after="0" w:line="240" w:lineRule="auto"/>
        <w:jc w:val="both"/>
        <w:rPr>
          <w:rFonts w:ascii="Arial" w:eastAsia="Times New Roman" w:hAnsi="Arial" w:cs="Arial"/>
          <w:b/>
          <w:sz w:val="24"/>
          <w:szCs w:val="24"/>
        </w:rPr>
      </w:pPr>
    </w:p>
    <w:tbl>
      <w:tblPr>
        <w:tblStyle w:val="TableGrid2"/>
        <w:tblW w:w="0" w:type="auto"/>
        <w:tblLook w:val="04A0" w:firstRow="1" w:lastRow="0" w:firstColumn="1" w:lastColumn="0" w:noHBand="0" w:noVBand="1"/>
      </w:tblPr>
      <w:tblGrid>
        <w:gridCol w:w="4644"/>
        <w:gridCol w:w="4598"/>
      </w:tblGrid>
      <w:tr w:rsidR="00807A10" w:rsidRPr="006A19AA" w14:paraId="446AE674" w14:textId="77777777" w:rsidTr="00C4609D">
        <w:tc>
          <w:tcPr>
            <w:tcW w:w="5210" w:type="dxa"/>
            <w:shd w:val="clear" w:color="auto" w:fill="D9D9D9" w:themeFill="background1" w:themeFillShade="D9"/>
          </w:tcPr>
          <w:p w14:paraId="10C94056" w14:textId="77777777" w:rsidR="00807A10" w:rsidRPr="006A19AA" w:rsidRDefault="00807A10" w:rsidP="00C4609D">
            <w:pPr>
              <w:rPr>
                <w:rFonts w:ascii="Arial" w:hAnsi="Arial" w:cs="Arial"/>
                <w:b/>
                <w:sz w:val="24"/>
                <w:szCs w:val="24"/>
              </w:rPr>
            </w:pPr>
            <w:r w:rsidRPr="006A19AA">
              <w:rPr>
                <w:rFonts w:ascii="Arial" w:hAnsi="Arial" w:cs="Arial"/>
                <w:b/>
                <w:sz w:val="24"/>
                <w:szCs w:val="24"/>
              </w:rPr>
              <w:t>Construction Phases</w:t>
            </w:r>
          </w:p>
        </w:tc>
        <w:tc>
          <w:tcPr>
            <w:tcW w:w="5210" w:type="dxa"/>
            <w:shd w:val="clear" w:color="auto" w:fill="D9D9D9" w:themeFill="background1" w:themeFillShade="D9"/>
          </w:tcPr>
          <w:p w14:paraId="13B5E6FB" w14:textId="77777777" w:rsidR="00807A10" w:rsidRPr="006A19AA" w:rsidRDefault="00807A10" w:rsidP="00C4609D">
            <w:pPr>
              <w:rPr>
                <w:rFonts w:ascii="Arial" w:hAnsi="Arial" w:cs="Arial"/>
                <w:b/>
                <w:sz w:val="24"/>
                <w:szCs w:val="24"/>
              </w:rPr>
            </w:pPr>
            <w:r w:rsidRPr="006A19AA">
              <w:rPr>
                <w:rFonts w:ascii="Arial" w:hAnsi="Arial" w:cs="Arial"/>
                <w:b/>
                <w:sz w:val="24"/>
                <w:szCs w:val="24"/>
              </w:rPr>
              <w:t>Equivalent Event Phases</w:t>
            </w:r>
          </w:p>
        </w:tc>
      </w:tr>
      <w:tr w:rsidR="00807A10" w:rsidRPr="006A19AA" w14:paraId="2E21940C" w14:textId="77777777" w:rsidTr="00C4609D">
        <w:tc>
          <w:tcPr>
            <w:tcW w:w="5210" w:type="dxa"/>
          </w:tcPr>
          <w:p w14:paraId="5417BD9E" w14:textId="77777777" w:rsidR="00807A10" w:rsidRPr="006A19AA" w:rsidRDefault="00807A10" w:rsidP="00C4609D">
            <w:pPr>
              <w:rPr>
                <w:rFonts w:ascii="Arial" w:hAnsi="Arial" w:cs="Arial"/>
                <w:sz w:val="24"/>
                <w:szCs w:val="24"/>
              </w:rPr>
            </w:pPr>
            <w:r w:rsidRPr="006A19AA">
              <w:rPr>
                <w:rFonts w:ascii="Arial" w:hAnsi="Arial" w:cs="Arial"/>
                <w:sz w:val="24"/>
                <w:szCs w:val="24"/>
              </w:rPr>
              <w:lastRenderedPageBreak/>
              <w:t>Pre-Construction Phase</w:t>
            </w:r>
          </w:p>
          <w:p w14:paraId="2DD22932" w14:textId="77777777" w:rsidR="00807A10" w:rsidRPr="006A19AA" w:rsidRDefault="00807A10" w:rsidP="00C4609D">
            <w:pPr>
              <w:rPr>
                <w:rFonts w:ascii="Arial" w:hAnsi="Arial" w:cs="Arial"/>
                <w:sz w:val="24"/>
                <w:szCs w:val="24"/>
              </w:rPr>
            </w:pPr>
          </w:p>
        </w:tc>
        <w:tc>
          <w:tcPr>
            <w:tcW w:w="5210" w:type="dxa"/>
          </w:tcPr>
          <w:p w14:paraId="728331FC" w14:textId="77777777" w:rsidR="00807A10" w:rsidRPr="006A19AA" w:rsidRDefault="00807A10" w:rsidP="00C4609D">
            <w:pPr>
              <w:rPr>
                <w:rFonts w:ascii="Arial" w:hAnsi="Arial" w:cs="Arial"/>
                <w:sz w:val="24"/>
                <w:szCs w:val="24"/>
              </w:rPr>
            </w:pPr>
            <w:r w:rsidRPr="006A19AA">
              <w:rPr>
                <w:rFonts w:ascii="Arial" w:hAnsi="Arial" w:cs="Arial"/>
                <w:sz w:val="24"/>
                <w:szCs w:val="24"/>
              </w:rPr>
              <w:t>Planning</w:t>
            </w:r>
          </w:p>
        </w:tc>
      </w:tr>
      <w:tr w:rsidR="00807A10" w:rsidRPr="006A19AA" w14:paraId="69EA0FE2" w14:textId="77777777" w:rsidTr="00C4609D">
        <w:tc>
          <w:tcPr>
            <w:tcW w:w="5210" w:type="dxa"/>
          </w:tcPr>
          <w:p w14:paraId="593961CE" w14:textId="77777777" w:rsidR="00807A10" w:rsidRPr="006A19AA" w:rsidRDefault="00807A10" w:rsidP="00C4609D">
            <w:pPr>
              <w:rPr>
                <w:rFonts w:ascii="Arial" w:hAnsi="Arial" w:cs="Arial"/>
                <w:sz w:val="24"/>
                <w:szCs w:val="24"/>
              </w:rPr>
            </w:pPr>
            <w:r w:rsidRPr="006A19AA">
              <w:rPr>
                <w:rFonts w:ascii="Arial" w:hAnsi="Arial" w:cs="Arial"/>
                <w:sz w:val="24"/>
                <w:szCs w:val="24"/>
              </w:rPr>
              <w:t>Construction Phase</w:t>
            </w:r>
          </w:p>
          <w:p w14:paraId="096A06B0" w14:textId="77777777" w:rsidR="00807A10" w:rsidRPr="006A19AA" w:rsidRDefault="00807A10" w:rsidP="00C4609D">
            <w:pPr>
              <w:rPr>
                <w:rFonts w:ascii="Arial" w:hAnsi="Arial" w:cs="Arial"/>
                <w:sz w:val="24"/>
                <w:szCs w:val="24"/>
              </w:rPr>
            </w:pPr>
          </w:p>
        </w:tc>
        <w:tc>
          <w:tcPr>
            <w:tcW w:w="5210" w:type="dxa"/>
          </w:tcPr>
          <w:p w14:paraId="438F422A" w14:textId="77777777" w:rsidR="00807A10" w:rsidRPr="006A19AA" w:rsidRDefault="00807A10" w:rsidP="00C4609D">
            <w:pPr>
              <w:rPr>
                <w:rFonts w:ascii="Arial" w:hAnsi="Arial" w:cs="Arial"/>
                <w:sz w:val="24"/>
                <w:szCs w:val="24"/>
              </w:rPr>
            </w:pPr>
            <w:r w:rsidRPr="006A19AA">
              <w:rPr>
                <w:rFonts w:ascii="Arial" w:hAnsi="Arial" w:cs="Arial"/>
                <w:sz w:val="24"/>
                <w:szCs w:val="24"/>
              </w:rPr>
              <w:t>Building and dismantling of the TDS</w:t>
            </w:r>
          </w:p>
        </w:tc>
      </w:tr>
      <w:tr w:rsidR="00807A10" w:rsidRPr="006A19AA" w14:paraId="510FF933" w14:textId="77777777" w:rsidTr="00C4609D">
        <w:tc>
          <w:tcPr>
            <w:tcW w:w="5210" w:type="dxa"/>
          </w:tcPr>
          <w:p w14:paraId="53704E02" w14:textId="77777777" w:rsidR="00807A10" w:rsidRPr="006A19AA" w:rsidRDefault="00807A10" w:rsidP="00C4609D">
            <w:pPr>
              <w:rPr>
                <w:rFonts w:ascii="Arial" w:hAnsi="Arial" w:cs="Arial"/>
                <w:sz w:val="24"/>
                <w:szCs w:val="24"/>
              </w:rPr>
            </w:pPr>
            <w:r w:rsidRPr="006A19AA">
              <w:rPr>
                <w:rFonts w:ascii="Arial" w:hAnsi="Arial" w:cs="Arial"/>
                <w:sz w:val="24"/>
                <w:szCs w:val="24"/>
              </w:rPr>
              <w:t>Practical Completion</w:t>
            </w:r>
          </w:p>
          <w:p w14:paraId="166D74B3" w14:textId="77777777" w:rsidR="00807A10" w:rsidRPr="006A19AA" w:rsidRDefault="00807A10" w:rsidP="00C4609D">
            <w:pPr>
              <w:rPr>
                <w:rFonts w:ascii="Arial" w:hAnsi="Arial" w:cs="Arial"/>
                <w:sz w:val="24"/>
                <w:szCs w:val="24"/>
              </w:rPr>
            </w:pPr>
          </w:p>
        </w:tc>
        <w:tc>
          <w:tcPr>
            <w:tcW w:w="5210" w:type="dxa"/>
          </w:tcPr>
          <w:p w14:paraId="0022C5EE" w14:textId="77777777" w:rsidR="00807A10" w:rsidRPr="006A19AA" w:rsidRDefault="00807A10" w:rsidP="00C4609D">
            <w:pPr>
              <w:rPr>
                <w:rFonts w:ascii="Arial" w:hAnsi="Arial" w:cs="Arial"/>
                <w:sz w:val="24"/>
                <w:szCs w:val="24"/>
              </w:rPr>
            </w:pPr>
            <w:r w:rsidRPr="006A19AA">
              <w:rPr>
                <w:rFonts w:ascii="Arial" w:hAnsi="Arial" w:cs="Arial"/>
                <w:sz w:val="24"/>
                <w:szCs w:val="24"/>
              </w:rPr>
              <w:t>Use of the TDS</w:t>
            </w:r>
          </w:p>
        </w:tc>
      </w:tr>
    </w:tbl>
    <w:p w14:paraId="6CD80D24" w14:textId="77777777" w:rsidR="00807A10" w:rsidRPr="006A19AA" w:rsidRDefault="00807A10" w:rsidP="00807A10">
      <w:pPr>
        <w:rPr>
          <w:rFonts w:ascii="Arial" w:hAnsi="Arial" w:cs="Arial"/>
          <w:sz w:val="24"/>
          <w:szCs w:val="24"/>
        </w:rPr>
      </w:pPr>
      <w:r w:rsidRPr="006A19AA">
        <w:rPr>
          <w:rFonts w:ascii="Arial" w:hAnsi="Arial" w:cs="Arial"/>
          <w:sz w:val="24"/>
          <w:szCs w:val="24"/>
        </w:rPr>
        <w:t>Once a construction phase plan has been received and agreed by all the event project team, it should be included in the main event plan.</w:t>
      </w:r>
    </w:p>
    <w:p w14:paraId="377D10B8" w14:textId="77777777" w:rsidR="00807A10" w:rsidRDefault="00807A10" w:rsidP="00807A10">
      <w:pPr>
        <w:rPr>
          <w:rFonts w:ascii="Arial" w:hAnsi="Arial" w:cs="Arial"/>
          <w:sz w:val="24"/>
          <w:szCs w:val="24"/>
        </w:rPr>
      </w:pPr>
      <w:r w:rsidRPr="006A19AA">
        <w:rPr>
          <w:rFonts w:ascii="Arial" w:hAnsi="Arial" w:cs="Arial"/>
          <w:sz w:val="24"/>
          <w:szCs w:val="24"/>
        </w:rPr>
        <w:t>As a guide to construction activities in events the HSE have provide</w:t>
      </w:r>
      <w:r>
        <w:rPr>
          <w:rFonts w:ascii="Arial" w:hAnsi="Arial" w:cs="Arial"/>
          <w:sz w:val="24"/>
          <w:szCs w:val="24"/>
        </w:rPr>
        <w:t>d a practical g</w:t>
      </w:r>
    </w:p>
    <w:p w14:paraId="2458A0FE" w14:textId="77777777" w:rsidR="00E86757" w:rsidRDefault="00E86757"/>
    <w:sectPr w:rsidR="00E86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356E"/>
    <w:multiLevelType w:val="hybridMultilevel"/>
    <w:tmpl w:val="E962D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65B2F"/>
    <w:multiLevelType w:val="hybridMultilevel"/>
    <w:tmpl w:val="E19E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E525F"/>
    <w:multiLevelType w:val="hybridMultilevel"/>
    <w:tmpl w:val="1ABAD22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754B48"/>
    <w:multiLevelType w:val="hybridMultilevel"/>
    <w:tmpl w:val="882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650848">
    <w:abstractNumId w:val="0"/>
  </w:num>
  <w:num w:numId="2" w16cid:durableId="137840776">
    <w:abstractNumId w:val="3"/>
  </w:num>
  <w:num w:numId="3" w16cid:durableId="1481729581">
    <w:abstractNumId w:val="1"/>
  </w:num>
  <w:num w:numId="4" w16cid:durableId="329187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60FB"/>
    <w:rsid w:val="000E6B90"/>
    <w:rsid w:val="002460FB"/>
    <w:rsid w:val="00807A10"/>
    <w:rsid w:val="00B513D5"/>
    <w:rsid w:val="00B74935"/>
    <w:rsid w:val="00E8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1C79"/>
  <w15:chartTrackingRefBased/>
  <w15:docId w15:val="{94250DE4-13E2-44DB-85E5-F9843761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10"/>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A10"/>
    <w:pPr>
      <w:ind w:left="720"/>
      <w:contextualSpacing/>
    </w:pPr>
  </w:style>
  <w:style w:type="character" w:styleId="Hyperlink">
    <w:name w:val="Hyperlink"/>
    <w:basedOn w:val="DefaultParagraphFont"/>
    <w:uiPriority w:val="99"/>
    <w:unhideWhenUsed/>
    <w:rsid w:val="00807A10"/>
    <w:rPr>
      <w:color w:val="0563C1" w:themeColor="hyperlink"/>
      <w:u w:val="single"/>
    </w:rPr>
  </w:style>
  <w:style w:type="table" w:customStyle="1" w:styleId="TableGrid2">
    <w:name w:val="Table Grid2"/>
    <w:basedOn w:val="TableNormal"/>
    <w:next w:val="TableGrid"/>
    <w:uiPriority w:val="59"/>
    <w:rsid w:val="00807A1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7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event-safety/temporary-demountable-structures.htm" TargetMode="External"/><Relationship Id="rId5" Type="http://schemas.openxmlformats.org/officeDocument/2006/relationships/hyperlink" Target="http://www.hse.gov.uk/entertainment/theatre-tv/cdm-update-letter-1612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Turbitt</dc:creator>
  <cp:keywords/>
  <dc:description/>
  <cp:lastModifiedBy>John Turbitt</cp:lastModifiedBy>
  <cp:revision>3</cp:revision>
  <dcterms:created xsi:type="dcterms:W3CDTF">2023-07-12T14:26:00Z</dcterms:created>
  <dcterms:modified xsi:type="dcterms:W3CDTF">2023-08-15T10:51:00Z</dcterms:modified>
</cp:coreProperties>
</file>