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FE" w:rsidRDefault="00407942">
      <w:pPr>
        <w:rPr>
          <w:b/>
          <w:sz w:val="32"/>
          <w:szCs w:val="32"/>
        </w:rPr>
      </w:pPr>
      <w:bookmarkStart w:id="0" w:name="_GoBack"/>
      <w:bookmarkEnd w:id="0"/>
      <w:r>
        <w:tab/>
      </w:r>
      <w:r>
        <w:tab/>
      </w:r>
    </w:p>
    <w:p w:rsidR="00A04A31" w:rsidRPr="00AC4440" w:rsidRDefault="00A04A31">
      <w:pPr>
        <w:rPr>
          <w:b/>
          <w:sz w:val="24"/>
          <w:szCs w:val="24"/>
          <w:u w:val="single"/>
        </w:rPr>
      </w:pPr>
      <w:r w:rsidRPr="00AC4440">
        <w:rPr>
          <w:b/>
          <w:sz w:val="24"/>
          <w:szCs w:val="24"/>
          <w:u w:val="single"/>
        </w:rPr>
        <w:t>Premises</w:t>
      </w:r>
    </w:p>
    <w:tbl>
      <w:tblPr>
        <w:tblStyle w:val="TableGrid"/>
        <w:tblW w:w="12724" w:type="dxa"/>
        <w:tblLook w:val="04A0" w:firstRow="1" w:lastRow="0" w:firstColumn="1" w:lastColumn="0" w:noHBand="0" w:noVBand="1"/>
      </w:tblPr>
      <w:tblGrid>
        <w:gridCol w:w="2943"/>
        <w:gridCol w:w="9781"/>
      </w:tblGrid>
      <w:tr w:rsidR="00407942" w:rsidTr="006531D0">
        <w:tc>
          <w:tcPr>
            <w:tcW w:w="2943" w:type="dxa"/>
          </w:tcPr>
          <w:p w:rsidR="00407942" w:rsidRPr="00AC4440" w:rsidRDefault="00407942">
            <w:r w:rsidRPr="00AC4440">
              <w:t>Premises Name:</w:t>
            </w:r>
          </w:p>
        </w:tc>
        <w:tc>
          <w:tcPr>
            <w:tcW w:w="9781" w:type="dxa"/>
          </w:tcPr>
          <w:p w:rsidR="00407942" w:rsidRPr="00AC4440" w:rsidRDefault="00407942" w:rsidP="00DF2413"/>
        </w:tc>
      </w:tr>
      <w:tr w:rsidR="00407942" w:rsidTr="006531D0">
        <w:tc>
          <w:tcPr>
            <w:tcW w:w="2943" w:type="dxa"/>
          </w:tcPr>
          <w:p w:rsidR="00407942" w:rsidRPr="00AC4440" w:rsidRDefault="00407942">
            <w:r w:rsidRPr="00AC4440">
              <w:t>Premises Address:</w:t>
            </w:r>
          </w:p>
        </w:tc>
        <w:tc>
          <w:tcPr>
            <w:tcW w:w="9781" w:type="dxa"/>
          </w:tcPr>
          <w:p w:rsidR="00407942" w:rsidRPr="00AC4440" w:rsidRDefault="00407942"/>
        </w:tc>
      </w:tr>
      <w:tr w:rsidR="00407942" w:rsidTr="006531D0">
        <w:tc>
          <w:tcPr>
            <w:tcW w:w="2943" w:type="dxa"/>
          </w:tcPr>
          <w:p w:rsidR="00407942" w:rsidRPr="00AC4440" w:rsidRDefault="00407942">
            <w:r w:rsidRPr="00AC4440">
              <w:t>Premises Post Code:</w:t>
            </w:r>
          </w:p>
        </w:tc>
        <w:tc>
          <w:tcPr>
            <w:tcW w:w="9781" w:type="dxa"/>
          </w:tcPr>
          <w:p w:rsidR="00407942" w:rsidRPr="00AC4440" w:rsidRDefault="00407942"/>
        </w:tc>
      </w:tr>
      <w:tr w:rsidR="00407942" w:rsidTr="006531D0">
        <w:tc>
          <w:tcPr>
            <w:tcW w:w="2943" w:type="dxa"/>
          </w:tcPr>
          <w:p w:rsidR="00407942" w:rsidRPr="00AC4440" w:rsidRDefault="00407942">
            <w:r w:rsidRPr="00AC4440">
              <w:t>Premises Licence Number:</w:t>
            </w:r>
          </w:p>
        </w:tc>
        <w:tc>
          <w:tcPr>
            <w:tcW w:w="9781" w:type="dxa"/>
          </w:tcPr>
          <w:p w:rsidR="00407942" w:rsidRPr="00AC4440" w:rsidRDefault="00407942"/>
        </w:tc>
      </w:tr>
      <w:tr w:rsidR="00407942" w:rsidTr="006531D0">
        <w:tc>
          <w:tcPr>
            <w:tcW w:w="2943" w:type="dxa"/>
          </w:tcPr>
          <w:p w:rsidR="00407942" w:rsidRPr="00AC4440" w:rsidRDefault="00107AF4">
            <w:r w:rsidRPr="00AC4440">
              <w:t>Category of Premises:</w:t>
            </w:r>
          </w:p>
        </w:tc>
        <w:tc>
          <w:tcPr>
            <w:tcW w:w="9781" w:type="dxa"/>
          </w:tcPr>
          <w:p w:rsidR="00407942" w:rsidRPr="00AC4440" w:rsidRDefault="00407942"/>
        </w:tc>
      </w:tr>
    </w:tbl>
    <w:p w:rsidR="00407942" w:rsidRPr="00AC4440" w:rsidRDefault="00407942"/>
    <w:p w:rsidR="00A04A31" w:rsidRPr="00AC4440" w:rsidRDefault="00A04A31">
      <w:pPr>
        <w:rPr>
          <w:b/>
          <w:sz w:val="24"/>
          <w:szCs w:val="24"/>
          <w:u w:val="single"/>
        </w:rPr>
      </w:pPr>
      <w:r w:rsidRPr="00AC4440">
        <w:rPr>
          <w:b/>
          <w:sz w:val="24"/>
          <w:szCs w:val="24"/>
          <w:u w:val="single"/>
        </w:rPr>
        <w:t>Company</w:t>
      </w:r>
    </w:p>
    <w:tbl>
      <w:tblPr>
        <w:tblStyle w:val="TableGrid"/>
        <w:tblW w:w="12724" w:type="dxa"/>
        <w:tblLook w:val="04A0" w:firstRow="1" w:lastRow="0" w:firstColumn="1" w:lastColumn="0" w:noHBand="0" w:noVBand="1"/>
      </w:tblPr>
      <w:tblGrid>
        <w:gridCol w:w="2943"/>
        <w:gridCol w:w="9781"/>
      </w:tblGrid>
      <w:tr w:rsidR="00A04A31" w:rsidTr="006531D0">
        <w:tc>
          <w:tcPr>
            <w:tcW w:w="2943" w:type="dxa"/>
          </w:tcPr>
          <w:p w:rsidR="00A04A31" w:rsidRPr="00AC4440" w:rsidRDefault="00A04A31">
            <w:r w:rsidRPr="00AC4440">
              <w:t>Operating Company:</w:t>
            </w:r>
          </w:p>
        </w:tc>
        <w:tc>
          <w:tcPr>
            <w:tcW w:w="9781" w:type="dxa"/>
          </w:tcPr>
          <w:p w:rsidR="00A04A31" w:rsidRPr="00AC4440" w:rsidRDefault="00A04A31"/>
        </w:tc>
      </w:tr>
      <w:tr w:rsidR="00A04A31" w:rsidTr="006531D0">
        <w:tc>
          <w:tcPr>
            <w:tcW w:w="2943" w:type="dxa"/>
          </w:tcPr>
          <w:p w:rsidR="00A04A31" w:rsidRPr="00AC4440" w:rsidRDefault="00A04A31">
            <w:r w:rsidRPr="00AC4440">
              <w:t>Operating Licence Number:</w:t>
            </w:r>
          </w:p>
        </w:tc>
        <w:tc>
          <w:tcPr>
            <w:tcW w:w="9781" w:type="dxa"/>
          </w:tcPr>
          <w:p w:rsidR="00A04A31" w:rsidRPr="00AC4440" w:rsidRDefault="00A04A31"/>
        </w:tc>
      </w:tr>
    </w:tbl>
    <w:p w:rsidR="00A04A31" w:rsidRPr="00AC4440" w:rsidRDefault="00A04A31"/>
    <w:p w:rsidR="00D40C50" w:rsidRPr="00D40C50" w:rsidRDefault="00D40C50" w:rsidP="00D40C50">
      <w:pPr>
        <w:pStyle w:val="NoSpacing"/>
        <w:rPr>
          <w:b/>
          <w:sz w:val="24"/>
          <w:szCs w:val="24"/>
          <w:u w:val="single"/>
        </w:rPr>
      </w:pPr>
      <w:r w:rsidRPr="00D40C50">
        <w:rPr>
          <w:b/>
          <w:sz w:val="24"/>
          <w:szCs w:val="24"/>
          <w:u w:val="single"/>
        </w:rPr>
        <w:t>Requirement to Comply</w:t>
      </w:r>
    </w:p>
    <w:p w:rsidR="00D40C50" w:rsidRPr="004B1ACB" w:rsidRDefault="00D40C50" w:rsidP="00D40C50">
      <w:pPr>
        <w:pStyle w:val="NoSpacing"/>
        <w:rPr>
          <w:b/>
          <w:sz w:val="10"/>
          <w:szCs w:val="10"/>
        </w:rPr>
      </w:pPr>
    </w:p>
    <w:p w:rsidR="00D40C50" w:rsidRPr="004B1ACB" w:rsidRDefault="00A04A56" w:rsidP="00D40C50">
      <w:pPr>
        <w:pStyle w:val="NoSpacing"/>
      </w:pPr>
      <w:r>
        <w:t>This requirement applies to a</w:t>
      </w:r>
      <w:r w:rsidR="00D40C50" w:rsidRPr="004B1ACB">
        <w:t>ll non-remote casino, adult gaming centre, bingo, family entertainment centre, betting and remote betting intermediary (trading room only) licences, except non-remote general betting (limited) and betting intermediary licences</w:t>
      </w:r>
    </w:p>
    <w:p w:rsidR="00D40C50" w:rsidRPr="004B1ACB" w:rsidRDefault="00D40C50">
      <w:pPr>
        <w:rPr>
          <w:rFonts w:ascii="Times New Roman" w:hAnsi="Times New Roman" w:cs="Times New Roman"/>
          <w:sz w:val="8"/>
          <w:szCs w:val="8"/>
        </w:rPr>
      </w:pPr>
    </w:p>
    <w:p w:rsidR="004B1ACB" w:rsidRPr="00A04A56" w:rsidRDefault="004B1ACB">
      <w:pPr>
        <w:rPr>
          <w:b/>
        </w:rPr>
      </w:pPr>
      <w:r w:rsidRPr="00A04A56">
        <w:rPr>
          <w:b/>
        </w:rPr>
        <w:t>Social responsibility code provision 10.1.1</w:t>
      </w:r>
      <w:r w:rsidR="00AC4440">
        <w:rPr>
          <w:b/>
        </w:rPr>
        <w:t xml:space="preserve"> states:</w:t>
      </w:r>
    </w:p>
    <w:p w:rsidR="008141A4" w:rsidRDefault="008141A4" w:rsidP="008141A4">
      <w:pPr>
        <w:pStyle w:val="ListParagraph"/>
        <w:numPr>
          <w:ilvl w:val="0"/>
          <w:numId w:val="1"/>
        </w:numPr>
      </w:pPr>
      <w:r>
        <w:t xml:space="preserve">Licensees must assess the local risks to the licensing objectives posed by the provision of gambling facilities at </w:t>
      </w:r>
      <w:r w:rsidRPr="008141A4">
        <w:rPr>
          <w:b/>
        </w:rPr>
        <w:t>each of their premises</w:t>
      </w:r>
      <w:r>
        <w:t>, and have policies, procedures and control measures to mitigate those risks. In making risk assessments, licensees must take into account relevant matters identified in the licensing authority’s statement of licensing policy.</w:t>
      </w:r>
    </w:p>
    <w:p w:rsidR="004B1ACB" w:rsidRDefault="004B1ACB" w:rsidP="004B1ACB">
      <w:pPr>
        <w:pStyle w:val="ListParagraph"/>
      </w:pPr>
    </w:p>
    <w:p w:rsidR="008141A4" w:rsidRDefault="008141A4" w:rsidP="00A74D0E">
      <w:pPr>
        <w:pStyle w:val="ListParagraph"/>
        <w:numPr>
          <w:ilvl w:val="0"/>
          <w:numId w:val="1"/>
        </w:numPr>
      </w:pPr>
      <w:r>
        <w:t>Licensees must review (and update as necessary) their local risk assessments.</w:t>
      </w:r>
    </w:p>
    <w:p w:rsidR="00AC4440" w:rsidRDefault="00AC4440" w:rsidP="00AC4440">
      <w:pPr>
        <w:pStyle w:val="ListParagraph"/>
        <w:ind w:left="1440"/>
      </w:pPr>
    </w:p>
    <w:p w:rsidR="008141A4" w:rsidRDefault="00D11280" w:rsidP="008141A4">
      <w:pPr>
        <w:pStyle w:val="ListParagraph"/>
        <w:numPr>
          <w:ilvl w:val="0"/>
          <w:numId w:val="2"/>
        </w:numPr>
      </w:pPr>
      <w:r>
        <w:t>t</w:t>
      </w:r>
      <w:r w:rsidR="008141A4">
        <w:t>o take account of significant changes in local circumstances, including those identified in a licensing authority’s statement of licensing policy;</w:t>
      </w:r>
    </w:p>
    <w:p w:rsidR="008141A4" w:rsidRDefault="00D11280" w:rsidP="008141A4">
      <w:pPr>
        <w:pStyle w:val="ListParagraph"/>
        <w:numPr>
          <w:ilvl w:val="0"/>
          <w:numId w:val="2"/>
        </w:numPr>
      </w:pPr>
      <w:r>
        <w:t>w</w:t>
      </w:r>
      <w:r w:rsidR="008141A4">
        <w:t>hen there are significant changes at a licensee’s premises</w:t>
      </w:r>
      <w:r>
        <w:t xml:space="preserve"> that may affect their mitigation of local risks;</w:t>
      </w:r>
    </w:p>
    <w:p w:rsidR="00D11280" w:rsidRDefault="00D11280" w:rsidP="008141A4">
      <w:pPr>
        <w:pStyle w:val="ListParagraph"/>
        <w:numPr>
          <w:ilvl w:val="0"/>
          <w:numId w:val="2"/>
        </w:numPr>
      </w:pPr>
      <w:r>
        <w:t>when applying for a variation of a premises licence; and</w:t>
      </w:r>
    </w:p>
    <w:p w:rsidR="00D11280" w:rsidRPr="008141A4" w:rsidRDefault="00D11280" w:rsidP="008141A4">
      <w:pPr>
        <w:pStyle w:val="ListParagraph"/>
        <w:numPr>
          <w:ilvl w:val="0"/>
          <w:numId w:val="2"/>
        </w:numPr>
      </w:pPr>
      <w:r>
        <w:t>in any case, undertake a local risk assessment when applying for a new premises licence.</w:t>
      </w:r>
    </w:p>
    <w:p w:rsidR="00AC4440" w:rsidRDefault="00AC4440">
      <w:pPr>
        <w:rPr>
          <w:b/>
        </w:rPr>
      </w:pPr>
    </w:p>
    <w:p w:rsidR="00D40C50" w:rsidRPr="00A04A56" w:rsidRDefault="00D11280">
      <w:pPr>
        <w:rPr>
          <w:b/>
        </w:rPr>
      </w:pPr>
      <w:r w:rsidRPr="00A04A56">
        <w:rPr>
          <w:b/>
        </w:rPr>
        <w:t>Ordinary code provision 10.1.2</w:t>
      </w:r>
      <w:r w:rsidR="00AC4440">
        <w:rPr>
          <w:b/>
        </w:rPr>
        <w:t xml:space="preserve"> states:</w:t>
      </w:r>
    </w:p>
    <w:p w:rsidR="00D11280" w:rsidRPr="00A04A56" w:rsidRDefault="00D11280" w:rsidP="00784DE4">
      <w:pPr>
        <w:pStyle w:val="ListParagraph"/>
        <w:numPr>
          <w:ilvl w:val="0"/>
          <w:numId w:val="11"/>
        </w:numPr>
      </w:pPr>
      <w:r w:rsidRPr="00A04A56">
        <w:t>Licensees should share their risk assessment with licensing authorities when applying for a premises licence or applying for a variation to existing licensed premises, or otherwise on request.</w:t>
      </w:r>
    </w:p>
    <w:p w:rsidR="00C55480" w:rsidRDefault="00C55480" w:rsidP="009F4314">
      <w:pPr>
        <w:jc w:val="center"/>
        <w:rPr>
          <w:rFonts w:ascii="Times New Roman" w:hAnsi="Times New Roman" w:cs="Times New Roman"/>
          <w:b/>
          <w:sz w:val="24"/>
          <w:szCs w:val="24"/>
          <w:u w:val="single"/>
        </w:rPr>
      </w:pPr>
    </w:p>
    <w:p w:rsidR="004E411A" w:rsidRPr="00C72DA1" w:rsidRDefault="009F4314" w:rsidP="00837C4F">
      <w:pPr>
        <w:jc w:val="center"/>
        <w:rPr>
          <w:rFonts w:cstheme="minorHAnsi"/>
          <w:b/>
          <w:sz w:val="24"/>
          <w:szCs w:val="24"/>
          <w:u w:val="single"/>
        </w:rPr>
      </w:pPr>
      <w:r w:rsidRPr="00C72DA1">
        <w:rPr>
          <w:rFonts w:cstheme="minorHAnsi"/>
          <w:b/>
          <w:sz w:val="24"/>
          <w:szCs w:val="24"/>
          <w:u w:val="single"/>
        </w:rPr>
        <w:t>Local Area Profile</w:t>
      </w:r>
    </w:p>
    <w:p w:rsidR="00EA167C" w:rsidRPr="007A478D" w:rsidRDefault="00EA167C" w:rsidP="0059633D">
      <w:pPr>
        <w:tabs>
          <w:tab w:val="left" w:pos="5937"/>
        </w:tabs>
      </w:pPr>
    </w:p>
    <w:p w:rsidR="004E411A" w:rsidRPr="007A478D" w:rsidRDefault="00A04A56" w:rsidP="0059633D">
      <w:pPr>
        <w:tabs>
          <w:tab w:val="left" w:pos="5937"/>
        </w:tabs>
      </w:pPr>
      <w:r w:rsidRPr="007A478D">
        <w:t xml:space="preserve">[Please describe </w:t>
      </w:r>
      <w:r w:rsidR="00254A34">
        <w:t xml:space="preserve">your premises and </w:t>
      </w:r>
      <w:r w:rsidR="00670FD8">
        <w:t>the</w:t>
      </w:r>
      <w:r w:rsidRPr="007A478D">
        <w:t xml:space="preserve"> area</w:t>
      </w:r>
      <w:r w:rsidR="00254A34">
        <w:t xml:space="preserve"> </w:t>
      </w:r>
      <w:r w:rsidR="00670FD8">
        <w:t xml:space="preserve">in which it is located </w:t>
      </w:r>
      <w:r w:rsidR="007A478D">
        <w:t>here</w:t>
      </w:r>
      <w:r w:rsidR="00E5304E">
        <w:t xml:space="preserve">. Further guidance can be found in section </w:t>
      </w:r>
      <w:r w:rsidR="00D75E57">
        <w:t xml:space="preserve">3 </w:t>
      </w:r>
      <w:r w:rsidR="00E5304E">
        <w:t>of South Tyneside Council’s Gambling Act 2005 - Statement of Licensing Policy</w:t>
      </w:r>
      <w:r w:rsidRPr="007A478D">
        <w:t>]</w:t>
      </w:r>
    </w:p>
    <w:p w:rsidR="00A04A56" w:rsidRDefault="00A04A56" w:rsidP="0059633D">
      <w:pPr>
        <w:tabs>
          <w:tab w:val="left" w:pos="5937"/>
        </w:tabs>
        <w:rPr>
          <w:rFonts w:ascii="Times New Roman" w:hAnsi="Times New Roman" w:cs="Times New Roman"/>
          <w:b/>
          <w:sz w:val="24"/>
          <w:szCs w:val="24"/>
        </w:rPr>
      </w:pPr>
    </w:p>
    <w:p w:rsidR="0059633D" w:rsidRPr="00AC4440" w:rsidRDefault="0059633D" w:rsidP="0059633D">
      <w:pPr>
        <w:tabs>
          <w:tab w:val="left" w:pos="5937"/>
        </w:tabs>
        <w:rPr>
          <w:b/>
        </w:rPr>
      </w:pPr>
      <w:r w:rsidRPr="00AC4440">
        <w:rPr>
          <w:b/>
        </w:rPr>
        <w:t>Gambling Act 2005 – The Licensing Objectives</w:t>
      </w:r>
    </w:p>
    <w:p w:rsidR="0059633D" w:rsidRPr="00AC4440" w:rsidRDefault="0059633D" w:rsidP="0059633D">
      <w:pPr>
        <w:tabs>
          <w:tab w:val="left" w:pos="5937"/>
        </w:tabs>
      </w:pPr>
      <w:r w:rsidRPr="00AC4440">
        <w:t>The Gambling Act 2005 sets out the three licensing objectives</w:t>
      </w:r>
      <w:r w:rsidR="00EA4668" w:rsidRPr="00AC4440">
        <w:t xml:space="preserve"> (LO</w:t>
      </w:r>
      <w:r w:rsidR="00EA167C">
        <w:t>s</w:t>
      </w:r>
      <w:r w:rsidR="00EA4668" w:rsidRPr="00AC4440">
        <w:t>)</w:t>
      </w:r>
      <w:r w:rsidRPr="00AC4440">
        <w:t>, which are:</w:t>
      </w:r>
    </w:p>
    <w:p w:rsidR="0059633D" w:rsidRPr="00AC4440" w:rsidRDefault="00EA4668" w:rsidP="00EA4668">
      <w:pPr>
        <w:pStyle w:val="ListParagraph"/>
        <w:numPr>
          <w:ilvl w:val="0"/>
          <w:numId w:val="8"/>
        </w:numPr>
        <w:tabs>
          <w:tab w:val="left" w:pos="5937"/>
        </w:tabs>
        <w:ind w:left="567" w:hanging="567"/>
      </w:pPr>
      <w:r w:rsidRPr="00AC4440">
        <w:t>P</w:t>
      </w:r>
      <w:r w:rsidR="0059633D" w:rsidRPr="00AC4440">
        <w:t>reventing gambling from being a source of crime or disorder, being associated with crime or disorder or being used to support crime;</w:t>
      </w:r>
    </w:p>
    <w:p w:rsidR="00EA4668" w:rsidRPr="00AC4440" w:rsidRDefault="00EA4668" w:rsidP="00EA4668">
      <w:pPr>
        <w:pStyle w:val="ListParagraph"/>
        <w:numPr>
          <w:ilvl w:val="0"/>
          <w:numId w:val="8"/>
        </w:numPr>
        <w:tabs>
          <w:tab w:val="left" w:pos="5937"/>
        </w:tabs>
        <w:ind w:left="567" w:hanging="567"/>
      </w:pPr>
      <w:r w:rsidRPr="00AC4440">
        <w:t>E</w:t>
      </w:r>
      <w:r w:rsidR="0059633D" w:rsidRPr="00AC4440">
        <w:t xml:space="preserve">nsuring that gambling is conducted in a fair and open way; and </w:t>
      </w:r>
    </w:p>
    <w:p w:rsidR="0059633D" w:rsidRPr="00AC4440" w:rsidRDefault="00EA4668" w:rsidP="00EA4668">
      <w:pPr>
        <w:pStyle w:val="ListParagraph"/>
        <w:numPr>
          <w:ilvl w:val="0"/>
          <w:numId w:val="8"/>
        </w:numPr>
        <w:tabs>
          <w:tab w:val="left" w:pos="5937"/>
        </w:tabs>
        <w:ind w:left="567" w:hanging="567"/>
      </w:pPr>
      <w:r w:rsidRPr="00AC4440">
        <w:t xml:space="preserve">Protecting </w:t>
      </w:r>
      <w:r w:rsidR="0059633D" w:rsidRPr="00AC4440">
        <w:t>children and other vulnerable people from being harmed or exploited by gambling.</w:t>
      </w:r>
    </w:p>
    <w:p w:rsidR="00EA4668" w:rsidRPr="00032EB7" w:rsidRDefault="00D40C50" w:rsidP="00032EB7">
      <w:pPr>
        <w:rPr>
          <w:rFonts w:ascii="Times New Roman" w:hAnsi="Times New Roman" w:cs="Times New Roman"/>
          <w:b/>
          <w:sz w:val="20"/>
          <w:szCs w:val="20"/>
        </w:rPr>
      </w:pPr>
      <w:r w:rsidRPr="00032EB7">
        <w:rPr>
          <w:rFonts w:ascii="Times New Roman" w:hAnsi="Times New Roman" w:cs="Times New Roman"/>
          <w:b/>
          <w:sz w:val="20"/>
          <w:szCs w:val="20"/>
        </w:rPr>
        <w:t xml:space="preserve">                                               </w:t>
      </w:r>
    </w:p>
    <w:tbl>
      <w:tblPr>
        <w:tblStyle w:val="TableGrid"/>
        <w:tblW w:w="14992" w:type="dxa"/>
        <w:tblLayout w:type="fixed"/>
        <w:tblLook w:val="04A0" w:firstRow="1" w:lastRow="0" w:firstColumn="1" w:lastColumn="0" w:noHBand="0" w:noVBand="1"/>
      </w:tblPr>
      <w:tblGrid>
        <w:gridCol w:w="2834"/>
        <w:gridCol w:w="535"/>
        <w:gridCol w:w="1984"/>
        <w:gridCol w:w="1752"/>
        <w:gridCol w:w="1083"/>
        <w:gridCol w:w="5670"/>
        <w:gridCol w:w="1134"/>
      </w:tblGrid>
      <w:tr w:rsidR="00F850AA" w:rsidTr="00611D27">
        <w:tc>
          <w:tcPr>
            <w:tcW w:w="2834" w:type="dxa"/>
          </w:tcPr>
          <w:p w:rsidR="009A09D1" w:rsidRPr="00544FB0" w:rsidRDefault="009A09D1" w:rsidP="00A04A56">
            <w:pPr>
              <w:jc w:val="center"/>
              <w:rPr>
                <w:rFonts w:cstheme="minorHAnsi"/>
                <w:b/>
                <w:sz w:val="20"/>
                <w:szCs w:val="20"/>
              </w:rPr>
            </w:pPr>
            <w:r w:rsidRPr="00544FB0">
              <w:rPr>
                <w:rFonts w:cstheme="minorHAnsi"/>
                <w:b/>
                <w:sz w:val="20"/>
                <w:szCs w:val="20"/>
              </w:rPr>
              <w:t xml:space="preserve">Risk </w:t>
            </w:r>
          </w:p>
        </w:tc>
        <w:tc>
          <w:tcPr>
            <w:tcW w:w="535" w:type="dxa"/>
          </w:tcPr>
          <w:p w:rsidR="009A09D1" w:rsidRPr="00544FB0" w:rsidRDefault="009A09D1" w:rsidP="009A09D1">
            <w:pPr>
              <w:jc w:val="center"/>
              <w:rPr>
                <w:rFonts w:cstheme="minorHAnsi"/>
                <w:b/>
                <w:sz w:val="20"/>
                <w:szCs w:val="20"/>
              </w:rPr>
            </w:pPr>
            <w:r w:rsidRPr="00544FB0">
              <w:rPr>
                <w:rFonts w:cstheme="minorHAnsi"/>
                <w:b/>
                <w:sz w:val="20"/>
                <w:szCs w:val="20"/>
              </w:rPr>
              <w:t>LO</w:t>
            </w:r>
          </w:p>
        </w:tc>
        <w:tc>
          <w:tcPr>
            <w:tcW w:w="1984" w:type="dxa"/>
          </w:tcPr>
          <w:p w:rsidR="009A09D1" w:rsidRPr="00544FB0" w:rsidRDefault="009A09D1" w:rsidP="009A09D1">
            <w:pPr>
              <w:jc w:val="center"/>
              <w:rPr>
                <w:rFonts w:cstheme="minorHAnsi"/>
                <w:b/>
                <w:sz w:val="20"/>
                <w:szCs w:val="20"/>
              </w:rPr>
            </w:pPr>
            <w:r w:rsidRPr="00544FB0">
              <w:rPr>
                <w:rFonts w:cstheme="minorHAnsi"/>
                <w:b/>
                <w:sz w:val="20"/>
                <w:szCs w:val="20"/>
              </w:rPr>
              <w:t>Level of Risk</w:t>
            </w:r>
            <w:r w:rsidR="00611D27" w:rsidRPr="00544FB0">
              <w:rPr>
                <w:rFonts w:cstheme="minorHAnsi"/>
                <w:b/>
                <w:sz w:val="20"/>
                <w:szCs w:val="20"/>
              </w:rPr>
              <w:t xml:space="preserve"> (Low/Medium/High)</w:t>
            </w:r>
          </w:p>
        </w:tc>
        <w:tc>
          <w:tcPr>
            <w:tcW w:w="1752" w:type="dxa"/>
          </w:tcPr>
          <w:p w:rsidR="009A09D1" w:rsidRPr="00544FB0" w:rsidRDefault="009A09D1" w:rsidP="009A09D1">
            <w:pPr>
              <w:jc w:val="center"/>
              <w:rPr>
                <w:rFonts w:cstheme="minorHAnsi"/>
                <w:b/>
                <w:sz w:val="20"/>
                <w:szCs w:val="20"/>
              </w:rPr>
            </w:pPr>
            <w:r w:rsidRPr="00544FB0">
              <w:rPr>
                <w:rFonts w:cstheme="minorHAnsi"/>
                <w:b/>
                <w:sz w:val="20"/>
                <w:szCs w:val="20"/>
              </w:rPr>
              <w:t>Impact</w:t>
            </w:r>
          </w:p>
        </w:tc>
        <w:tc>
          <w:tcPr>
            <w:tcW w:w="1083" w:type="dxa"/>
          </w:tcPr>
          <w:p w:rsidR="009A09D1" w:rsidRPr="00544FB0" w:rsidRDefault="009A09D1" w:rsidP="009A09D1">
            <w:pPr>
              <w:jc w:val="center"/>
              <w:rPr>
                <w:rFonts w:cstheme="minorHAnsi"/>
                <w:b/>
                <w:sz w:val="20"/>
                <w:szCs w:val="20"/>
              </w:rPr>
            </w:pPr>
            <w:r w:rsidRPr="00544FB0">
              <w:rPr>
                <w:rFonts w:cstheme="minorHAnsi"/>
                <w:b/>
                <w:sz w:val="20"/>
                <w:szCs w:val="20"/>
              </w:rPr>
              <w:t>Control System</w:t>
            </w:r>
          </w:p>
        </w:tc>
        <w:tc>
          <w:tcPr>
            <w:tcW w:w="5670" w:type="dxa"/>
          </w:tcPr>
          <w:p w:rsidR="009A09D1" w:rsidRPr="00544FB0" w:rsidRDefault="0035623F" w:rsidP="009A09D1">
            <w:pPr>
              <w:jc w:val="center"/>
              <w:rPr>
                <w:rFonts w:cstheme="minorHAnsi"/>
                <w:b/>
                <w:sz w:val="20"/>
                <w:szCs w:val="20"/>
              </w:rPr>
            </w:pPr>
            <w:r w:rsidRPr="00544FB0">
              <w:rPr>
                <w:rFonts w:cstheme="minorHAnsi"/>
                <w:b/>
                <w:sz w:val="20"/>
                <w:szCs w:val="20"/>
              </w:rPr>
              <w:t>Risk M</w:t>
            </w:r>
            <w:r w:rsidR="009A09D1" w:rsidRPr="00544FB0">
              <w:rPr>
                <w:rFonts w:cstheme="minorHAnsi"/>
                <w:b/>
                <w:sz w:val="20"/>
                <w:szCs w:val="20"/>
              </w:rPr>
              <w:t>anagement</w:t>
            </w:r>
          </w:p>
        </w:tc>
        <w:tc>
          <w:tcPr>
            <w:tcW w:w="1134" w:type="dxa"/>
          </w:tcPr>
          <w:p w:rsidR="009A09D1" w:rsidRPr="00544FB0" w:rsidRDefault="009A09D1" w:rsidP="009A09D1">
            <w:pPr>
              <w:jc w:val="center"/>
              <w:rPr>
                <w:rFonts w:cstheme="minorHAnsi"/>
                <w:b/>
                <w:sz w:val="20"/>
                <w:szCs w:val="20"/>
              </w:rPr>
            </w:pPr>
            <w:r w:rsidRPr="00544FB0">
              <w:rPr>
                <w:rFonts w:cstheme="minorHAnsi"/>
                <w:b/>
                <w:sz w:val="20"/>
                <w:szCs w:val="20"/>
              </w:rPr>
              <w:t>Reviewed</w:t>
            </w:r>
            <w:r w:rsidR="00EA167C" w:rsidRPr="00544FB0">
              <w:rPr>
                <w:rFonts w:cstheme="minorHAnsi"/>
                <w:b/>
                <w:sz w:val="20"/>
                <w:szCs w:val="20"/>
              </w:rPr>
              <w:t xml:space="preserve"> On</w:t>
            </w:r>
          </w:p>
        </w:tc>
      </w:tr>
      <w:tr w:rsidR="009D145F" w:rsidTr="00611D27">
        <w:tc>
          <w:tcPr>
            <w:tcW w:w="2834" w:type="dxa"/>
          </w:tcPr>
          <w:p w:rsidR="009D145F" w:rsidRPr="008F0D0D" w:rsidRDefault="009D145F" w:rsidP="009D145F">
            <w:pPr>
              <w:rPr>
                <w:rFonts w:ascii="Times New Roman" w:hAnsi="Times New Roman" w:cs="Times New Roman"/>
                <w:sz w:val="20"/>
                <w:szCs w:val="20"/>
              </w:rPr>
            </w:pPr>
          </w:p>
        </w:tc>
        <w:tc>
          <w:tcPr>
            <w:tcW w:w="535" w:type="dxa"/>
          </w:tcPr>
          <w:p w:rsidR="009D145F" w:rsidRPr="008F0D0D" w:rsidRDefault="009D145F" w:rsidP="009D145F">
            <w:pPr>
              <w:rPr>
                <w:rFonts w:ascii="Times New Roman" w:hAnsi="Times New Roman" w:cs="Times New Roman"/>
                <w:sz w:val="20"/>
                <w:szCs w:val="20"/>
              </w:rPr>
            </w:pPr>
          </w:p>
        </w:tc>
        <w:tc>
          <w:tcPr>
            <w:tcW w:w="1984" w:type="dxa"/>
          </w:tcPr>
          <w:p w:rsidR="009D145F" w:rsidRPr="008F0D0D" w:rsidRDefault="009D145F" w:rsidP="002D5F4D">
            <w:pPr>
              <w:rPr>
                <w:rFonts w:ascii="Times New Roman" w:hAnsi="Times New Roman" w:cs="Times New Roman"/>
                <w:sz w:val="20"/>
                <w:szCs w:val="20"/>
              </w:rPr>
            </w:pPr>
          </w:p>
        </w:tc>
        <w:tc>
          <w:tcPr>
            <w:tcW w:w="1752" w:type="dxa"/>
          </w:tcPr>
          <w:p w:rsidR="009D145F" w:rsidRPr="008F0D0D" w:rsidRDefault="009D145F" w:rsidP="002D5F4D">
            <w:pPr>
              <w:rPr>
                <w:rFonts w:ascii="Times New Roman" w:hAnsi="Times New Roman" w:cs="Times New Roman"/>
                <w:sz w:val="20"/>
                <w:szCs w:val="20"/>
              </w:rPr>
            </w:pPr>
          </w:p>
        </w:tc>
        <w:tc>
          <w:tcPr>
            <w:tcW w:w="1083" w:type="dxa"/>
          </w:tcPr>
          <w:p w:rsidR="009D145F" w:rsidRPr="008F0D0D" w:rsidRDefault="009D145F" w:rsidP="009D145F">
            <w:pPr>
              <w:rPr>
                <w:rFonts w:ascii="Times New Roman" w:hAnsi="Times New Roman" w:cs="Times New Roman"/>
                <w:sz w:val="20"/>
                <w:szCs w:val="20"/>
              </w:rPr>
            </w:pPr>
          </w:p>
        </w:tc>
        <w:tc>
          <w:tcPr>
            <w:tcW w:w="5670" w:type="dxa"/>
          </w:tcPr>
          <w:p w:rsidR="009D145F" w:rsidRPr="008F0D0D" w:rsidRDefault="009D145F" w:rsidP="009D145F">
            <w:pPr>
              <w:rPr>
                <w:rFonts w:ascii="Times New Roman" w:hAnsi="Times New Roman" w:cs="Times New Roman"/>
                <w:sz w:val="20"/>
                <w:szCs w:val="20"/>
              </w:rPr>
            </w:pPr>
          </w:p>
        </w:tc>
        <w:tc>
          <w:tcPr>
            <w:tcW w:w="1134" w:type="dxa"/>
          </w:tcPr>
          <w:p w:rsidR="009D145F" w:rsidRDefault="009D145F" w:rsidP="009D145F">
            <w:pPr>
              <w:rPr>
                <w:rFonts w:ascii="Times New Roman" w:hAnsi="Times New Roman" w:cs="Times New Roman"/>
                <w:b/>
                <w:sz w:val="20"/>
                <w:szCs w:val="20"/>
              </w:rPr>
            </w:pPr>
          </w:p>
        </w:tc>
      </w:tr>
      <w:tr w:rsidR="00217B8C" w:rsidTr="00611D27">
        <w:tc>
          <w:tcPr>
            <w:tcW w:w="2834" w:type="dxa"/>
          </w:tcPr>
          <w:p w:rsidR="00217B8C" w:rsidRPr="008F0D0D" w:rsidRDefault="00217B8C" w:rsidP="00217B8C">
            <w:pPr>
              <w:rPr>
                <w:rFonts w:ascii="Times New Roman" w:hAnsi="Times New Roman" w:cs="Times New Roman"/>
                <w:sz w:val="20"/>
                <w:szCs w:val="20"/>
              </w:rPr>
            </w:pPr>
          </w:p>
        </w:tc>
        <w:tc>
          <w:tcPr>
            <w:tcW w:w="535" w:type="dxa"/>
          </w:tcPr>
          <w:p w:rsidR="00217B8C" w:rsidRPr="008F0D0D" w:rsidRDefault="00217B8C" w:rsidP="00217B8C">
            <w:pPr>
              <w:rPr>
                <w:rFonts w:ascii="Times New Roman" w:hAnsi="Times New Roman" w:cs="Times New Roman"/>
                <w:sz w:val="20"/>
                <w:szCs w:val="20"/>
              </w:rPr>
            </w:pPr>
          </w:p>
        </w:tc>
        <w:tc>
          <w:tcPr>
            <w:tcW w:w="1984" w:type="dxa"/>
          </w:tcPr>
          <w:p w:rsidR="00217B8C" w:rsidRPr="008F0D0D" w:rsidRDefault="00217B8C" w:rsidP="00217B8C">
            <w:pPr>
              <w:rPr>
                <w:rFonts w:ascii="Times New Roman" w:hAnsi="Times New Roman" w:cs="Times New Roman"/>
                <w:sz w:val="20"/>
                <w:szCs w:val="20"/>
              </w:rPr>
            </w:pPr>
          </w:p>
        </w:tc>
        <w:tc>
          <w:tcPr>
            <w:tcW w:w="1752" w:type="dxa"/>
          </w:tcPr>
          <w:p w:rsidR="00217B8C" w:rsidRPr="008F0D0D" w:rsidRDefault="00217B8C" w:rsidP="00E119EB">
            <w:pPr>
              <w:rPr>
                <w:rFonts w:ascii="Times New Roman" w:hAnsi="Times New Roman" w:cs="Times New Roman"/>
                <w:sz w:val="20"/>
                <w:szCs w:val="20"/>
              </w:rPr>
            </w:pPr>
          </w:p>
        </w:tc>
        <w:tc>
          <w:tcPr>
            <w:tcW w:w="1083" w:type="dxa"/>
          </w:tcPr>
          <w:p w:rsidR="00217B8C" w:rsidRPr="008F0D0D" w:rsidRDefault="00217B8C" w:rsidP="00217B8C">
            <w:pPr>
              <w:rPr>
                <w:rFonts w:ascii="Times New Roman" w:hAnsi="Times New Roman" w:cs="Times New Roman"/>
                <w:sz w:val="20"/>
                <w:szCs w:val="20"/>
              </w:rPr>
            </w:pPr>
          </w:p>
        </w:tc>
        <w:tc>
          <w:tcPr>
            <w:tcW w:w="5670" w:type="dxa"/>
          </w:tcPr>
          <w:p w:rsidR="00217B8C" w:rsidRPr="008F0D0D" w:rsidRDefault="00217B8C" w:rsidP="00217B8C">
            <w:pPr>
              <w:rPr>
                <w:rFonts w:ascii="Times New Roman" w:hAnsi="Times New Roman" w:cs="Times New Roman"/>
                <w:sz w:val="20"/>
                <w:szCs w:val="20"/>
              </w:rPr>
            </w:pPr>
          </w:p>
        </w:tc>
        <w:tc>
          <w:tcPr>
            <w:tcW w:w="1134" w:type="dxa"/>
          </w:tcPr>
          <w:p w:rsidR="00217B8C" w:rsidRDefault="00217B8C" w:rsidP="00217B8C">
            <w:pPr>
              <w:rPr>
                <w:rFonts w:ascii="Times New Roman" w:hAnsi="Times New Roman" w:cs="Times New Roman"/>
                <w:b/>
                <w:sz w:val="20"/>
                <w:szCs w:val="20"/>
              </w:rPr>
            </w:pPr>
          </w:p>
        </w:tc>
      </w:tr>
      <w:tr w:rsidR="00217B8C" w:rsidTr="00611D27">
        <w:tc>
          <w:tcPr>
            <w:tcW w:w="2834" w:type="dxa"/>
          </w:tcPr>
          <w:p w:rsidR="00217B8C" w:rsidRPr="008F0D0D" w:rsidRDefault="00217B8C" w:rsidP="00217B8C">
            <w:pPr>
              <w:rPr>
                <w:rFonts w:ascii="Times New Roman" w:hAnsi="Times New Roman" w:cs="Times New Roman"/>
                <w:sz w:val="20"/>
                <w:szCs w:val="20"/>
              </w:rPr>
            </w:pPr>
          </w:p>
        </w:tc>
        <w:tc>
          <w:tcPr>
            <w:tcW w:w="535" w:type="dxa"/>
          </w:tcPr>
          <w:p w:rsidR="00217B8C" w:rsidRPr="008F0D0D" w:rsidRDefault="00217B8C" w:rsidP="00217B8C">
            <w:pPr>
              <w:rPr>
                <w:rFonts w:ascii="Times New Roman" w:hAnsi="Times New Roman" w:cs="Times New Roman"/>
                <w:sz w:val="20"/>
                <w:szCs w:val="20"/>
              </w:rPr>
            </w:pPr>
          </w:p>
        </w:tc>
        <w:tc>
          <w:tcPr>
            <w:tcW w:w="1984" w:type="dxa"/>
          </w:tcPr>
          <w:p w:rsidR="00217B8C" w:rsidRPr="008F0D0D" w:rsidRDefault="00217B8C" w:rsidP="00217B8C">
            <w:pPr>
              <w:rPr>
                <w:rFonts w:ascii="Times New Roman" w:hAnsi="Times New Roman" w:cs="Times New Roman"/>
                <w:sz w:val="20"/>
                <w:szCs w:val="20"/>
              </w:rPr>
            </w:pPr>
          </w:p>
        </w:tc>
        <w:tc>
          <w:tcPr>
            <w:tcW w:w="1752" w:type="dxa"/>
          </w:tcPr>
          <w:p w:rsidR="00217B8C" w:rsidRPr="008F0D0D" w:rsidRDefault="00217B8C" w:rsidP="00E119EB">
            <w:pPr>
              <w:rPr>
                <w:rFonts w:ascii="Times New Roman" w:hAnsi="Times New Roman" w:cs="Times New Roman"/>
                <w:sz w:val="20"/>
                <w:szCs w:val="20"/>
              </w:rPr>
            </w:pPr>
          </w:p>
        </w:tc>
        <w:tc>
          <w:tcPr>
            <w:tcW w:w="1083" w:type="dxa"/>
          </w:tcPr>
          <w:p w:rsidR="00217B8C" w:rsidRPr="008F0D0D" w:rsidRDefault="00217B8C" w:rsidP="00217B8C">
            <w:pPr>
              <w:rPr>
                <w:rFonts w:ascii="Times New Roman" w:hAnsi="Times New Roman" w:cs="Times New Roman"/>
                <w:sz w:val="20"/>
                <w:szCs w:val="20"/>
              </w:rPr>
            </w:pPr>
          </w:p>
        </w:tc>
        <w:tc>
          <w:tcPr>
            <w:tcW w:w="5670" w:type="dxa"/>
          </w:tcPr>
          <w:p w:rsidR="00217B8C" w:rsidRPr="008F0D0D" w:rsidRDefault="00217B8C" w:rsidP="00217B8C">
            <w:pPr>
              <w:rPr>
                <w:rFonts w:ascii="Times New Roman" w:hAnsi="Times New Roman" w:cs="Times New Roman"/>
                <w:sz w:val="20"/>
                <w:szCs w:val="20"/>
              </w:rPr>
            </w:pPr>
          </w:p>
        </w:tc>
        <w:tc>
          <w:tcPr>
            <w:tcW w:w="1134" w:type="dxa"/>
          </w:tcPr>
          <w:p w:rsidR="00217B8C" w:rsidRDefault="00217B8C" w:rsidP="00217B8C">
            <w:pPr>
              <w:rPr>
                <w:rFonts w:ascii="Times New Roman" w:hAnsi="Times New Roman" w:cs="Times New Roman"/>
                <w:b/>
                <w:sz w:val="20"/>
                <w:szCs w:val="20"/>
              </w:rPr>
            </w:pPr>
          </w:p>
        </w:tc>
      </w:tr>
      <w:tr w:rsidR="00217B8C" w:rsidTr="00611D27">
        <w:tc>
          <w:tcPr>
            <w:tcW w:w="2834" w:type="dxa"/>
          </w:tcPr>
          <w:p w:rsidR="00217B8C" w:rsidRPr="008F0D0D" w:rsidRDefault="00217B8C" w:rsidP="00217B8C">
            <w:pPr>
              <w:rPr>
                <w:rFonts w:ascii="Times New Roman" w:hAnsi="Times New Roman" w:cs="Times New Roman"/>
                <w:sz w:val="20"/>
                <w:szCs w:val="20"/>
              </w:rPr>
            </w:pPr>
          </w:p>
        </w:tc>
        <w:tc>
          <w:tcPr>
            <w:tcW w:w="535" w:type="dxa"/>
          </w:tcPr>
          <w:p w:rsidR="00217B8C" w:rsidRPr="008F0D0D" w:rsidRDefault="00217B8C" w:rsidP="00217B8C">
            <w:pPr>
              <w:rPr>
                <w:rFonts w:ascii="Times New Roman" w:hAnsi="Times New Roman" w:cs="Times New Roman"/>
                <w:sz w:val="20"/>
                <w:szCs w:val="20"/>
              </w:rPr>
            </w:pPr>
          </w:p>
        </w:tc>
        <w:tc>
          <w:tcPr>
            <w:tcW w:w="1984" w:type="dxa"/>
          </w:tcPr>
          <w:p w:rsidR="00217B8C" w:rsidRPr="008F0D0D" w:rsidRDefault="00217B8C" w:rsidP="00217B8C">
            <w:pPr>
              <w:rPr>
                <w:rFonts w:ascii="Times New Roman" w:hAnsi="Times New Roman" w:cs="Times New Roman"/>
                <w:sz w:val="20"/>
                <w:szCs w:val="20"/>
              </w:rPr>
            </w:pPr>
          </w:p>
        </w:tc>
        <w:tc>
          <w:tcPr>
            <w:tcW w:w="1752" w:type="dxa"/>
          </w:tcPr>
          <w:p w:rsidR="00217B8C" w:rsidRPr="008F0D0D" w:rsidRDefault="00217B8C" w:rsidP="00E119EB">
            <w:pPr>
              <w:rPr>
                <w:rFonts w:ascii="Times New Roman" w:hAnsi="Times New Roman" w:cs="Times New Roman"/>
                <w:sz w:val="20"/>
                <w:szCs w:val="20"/>
              </w:rPr>
            </w:pPr>
          </w:p>
        </w:tc>
        <w:tc>
          <w:tcPr>
            <w:tcW w:w="1083" w:type="dxa"/>
          </w:tcPr>
          <w:p w:rsidR="00217B8C" w:rsidRPr="008F0D0D" w:rsidRDefault="00217B8C" w:rsidP="00217B8C">
            <w:pPr>
              <w:rPr>
                <w:rFonts w:ascii="Times New Roman" w:hAnsi="Times New Roman" w:cs="Times New Roman"/>
                <w:sz w:val="20"/>
                <w:szCs w:val="20"/>
              </w:rPr>
            </w:pPr>
          </w:p>
        </w:tc>
        <w:tc>
          <w:tcPr>
            <w:tcW w:w="5670" w:type="dxa"/>
          </w:tcPr>
          <w:p w:rsidR="00217B8C" w:rsidRPr="008F0D0D" w:rsidRDefault="00217B8C" w:rsidP="00217B8C">
            <w:pPr>
              <w:rPr>
                <w:rFonts w:ascii="Times New Roman" w:hAnsi="Times New Roman" w:cs="Times New Roman"/>
                <w:sz w:val="20"/>
                <w:szCs w:val="20"/>
              </w:rPr>
            </w:pPr>
          </w:p>
        </w:tc>
        <w:tc>
          <w:tcPr>
            <w:tcW w:w="1134" w:type="dxa"/>
          </w:tcPr>
          <w:p w:rsidR="00217B8C" w:rsidRDefault="00217B8C" w:rsidP="00217B8C">
            <w:pPr>
              <w:rPr>
                <w:rFonts w:ascii="Times New Roman" w:hAnsi="Times New Roman" w:cs="Times New Roman"/>
                <w:b/>
                <w:sz w:val="20"/>
                <w:szCs w:val="20"/>
              </w:rPr>
            </w:pPr>
          </w:p>
        </w:tc>
      </w:tr>
      <w:tr w:rsidR="00217B8C" w:rsidTr="00611D27">
        <w:tc>
          <w:tcPr>
            <w:tcW w:w="2834" w:type="dxa"/>
          </w:tcPr>
          <w:p w:rsidR="00217B8C" w:rsidRPr="008F0D0D" w:rsidRDefault="00217B8C" w:rsidP="00217B8C">
            <w:pPr>
              <w:rPr>
                <w:rFonts w:ascii="Times New Roman" w:hAnsi="Times New Roman" w:cs="Times New Roman"/>
                <w:sz w:val="20"/>
                <w:szCs w:val="20"/>
              </w:rPr>
            </w:pPr>
          </w:p>
        </w:tc>
        <w:tc>
          <w:tcPr>
            <w:tcW w:w="535" w:type="dxa"/>
          </w:tcPr>
          <w:p w:rsidR="005946C2" w:rsidRPr="008F0D0D" w:rsidRDefault="005946C2" w:rsidP="00217B8C">
            <w:pPr>
              <w:rPr>
                <w:rFonts w:ascii="Times New Roman" w:hAnsi="Times New Roman" w:cs="Times New Roman"/>
                <w:sz w:val="20"/>
                <w:szCs w:val="20"/>
              </w:rPr>
            </w:pPr>
          </w:p>
        </w:tc>
        <w:tc>
          <w:tcPr>
            <w:tcW w:w="1984" w:type="dxa"/>
          </w:tcPr>
          <w:p w:rsidR="00217B8C" w:rsidRPr="008F0D0D" w:rsidRDefault="00217B8C" w:rsidP="00217B8C">
            <w:pPr>
              <w:rPr>
                <w:rFonts w:ascii="Times New Roman" w:hAnsi="Times New Roman" w:cs="Times New Roman"/>
                <w:sz w:val="20"/>
                <w:szCs w:val="20"/>
              </w:rPr>
            </w:pPr>
          </w:p>
        </w:tc>
        <w:tc>
          <w:tcPr>
            <w:tcW w:w="1752" w:type="dxa"/>
          </w:tcPr>
          <w:p w:rsidR="00217B8C" w:rsidRPr="008F0D0D" w:rsidRDefault="00217B8C" w:rsidP="00E119EB">
            <w:pPr>
              <w:rPr>
                <w:rFonts w:ascii="Times New Roman" w:hAnsi="Times New Roman" w:cs="Times New Roman"/>
                <w:sz w:val="20"/>
                <w:szCs w:val="20"/>
              </w:rPr>
            </w:pPr>
          </w:p>
        </w:tc>
        <w:tc>
          <w:tcPr>
            <w:tcW w:w="1083" w:type="dxa"/>
          </w:tcPr>
          <w:p w:rsidR="00217B8C" w:rsidRPr="008F0D0D" w:rsidRDefault="00217B8C" w:rsidP="00217B8C">
            <w:pPr>
              <w:rPr>
                <w:rFonts w:ascii="Times New Roman" w:hAnsi="Times New Roman" w:cs="Times New Roman"/>
                <w:sz w:val="20"/>
                <w:szCs w:val="20"/>
              </w:rPr>
            </w:pPr>
          </w:p>
        </w:tc>
        <w:tc>
          <w:tcPr>
            <w:tcW w:w="5670" w:type="dxa"/>
          </w:tcPr>
          <w:p w:rsidR="008D1000" w:rsidRPr="008F0D0D" w:rsidRDefault="008D1000" w:rsidP="00217B8C">
            <w:pPr>
              <w:rPr>
                <w:rFonts w:ascii="Times New Roman" w:hAnsi="Times New Roman" w:cs="Times New Roman"/>
                <w:sz w:val="20"/>
                <w:szCs w:val="20"/>
              </w:rPr>
            </w:pPr>
          </w:p>
        </w:tc>
        <w:tc>
          <w:tcPr>
            <w:tcW w:w="1134" w:type="dxa"/>
          </w:tcPr>
          <w:p w:rsidR="00217B8C" w:rsidRDefault="00217B8C" w:rsidP="00217B8C">
            <w:pPr>
              <w:rPr>
                <w:rFonts w:ascii="Times New Roman" w:hAnsi="Times New Roman" w:cs="Times New Roman"/>
                <w:b/>
                <w:sz w:val="20"/>
                <w:szCs w:val="20"/>
              </w:rPr>
            </w:pPr>
          </w:p>
        </w:tc>
      </w:tr>
      <w:tr w:rsidR="00217B8C" w:rsidTr="00611D27">
        <w:tc>
          <w:tcPr>
            <w:tcW w:w="2834" w:type="dxa"/>
          </w:tcPr>
          <w:p w:rsidR="00217B8C" w:rsidRPr="008F0D0D" w:rsidRDefault="00217B8C" w:rsidP="00217B8C">
            <w:pPr>
              <w:rPr>
                <w:rFonts w:ascii="Times New Roman" w:hAnsi="Times New Roman" w:cs="Times New Roman"/>
                <w:sz w:val="20"/>
                <w:szCs w:val="20"/>
              </w:rPr>
            </w:pPr>
          </w:p>
        </w:tc>
        <w:tc>
          <w:tcPr>
            <w:tcW w:w="535" w:type="dxa"/>
          </w:tcPr>
          <w:p w:rsidR="00217B8C" w:rsidRPr="008F0D0D" w:rsidRDefault="00217B8C" w:rsidP="00217B8C">
            <w:pPr>
              <w:rPr>
                <w:rFonts w:ascii="Times New Roman" w:hAnsi="Times New Roman" w:cs="Times New Roman"/>
                <w:sz w:val="20"/>
                <w:szCs w:val="20"/>
              </w:rPr>
            </w:pPr>
          </w:p>
        </w:tc>
        <w:tc>
          <w:tcPr>
            <w:tcW w:w="1984" w:type="dxa"/>
          </w:tcPr>
          <w:p w:rsidR="00217B8C" w:rsidRPr="008F0D0D" w:rsidRDefault="00217B8C" w:rsidP="00217B8C">
            <w:pPr>
              <w:rPr>
                <w:rFonts w:ascii="Times New Roman" w:hAnsi="Times New Roman" w:cs="Times New Roman"/>
                <w:sz w:val="20"/>
                <w:szCs w:val="20"/>
              </w:rPr>
            </w:pPr>
          </w:p>
        </w:tc>
        <w:tc>
          <w:tcPr>
            <w:tcW w:w="1752" w:type="dxa"/>
          </w:tcPr>
          <w:p w:rsidR="00217B8C" w:rsidRPr="008F0D0D" w:rsidRDefault="00217B8C" w:rsidP="00E119EB">
            <w:pPr>
              <w:rPr>
                <w:rFonts w:ascii="Times New Roman" w:hAnsi="Times New Roman" w:cs="Times New Roman"/>
                <w:sz w:val="20"/>
                <w:szCs w:val="20"/>
              </w:rPr>
            </w:pPr>
          </w:p>
        </w:tc>
        <w:tc>
          <w:tcPr>
            <w:tcW w:w="1083" w:type="dxa"/>
          </w:tcPr>
          <w:p w:rsidR="00217B8C" w:rsidRPr="008F0D0D" w:rsidRDefault="00217B8C" w:rsidP="00217B8C">
            <w:pPr>
              <w:rPr>
                <w:rFonts w:ascii="Times New Roman" w:hAnsi="Times New Roman" w:cs="Times New Roman"/>
                <w:sz w:val="20"/>
                <w:szCs w:val="20"/>
              </w:rPr>
            </w:pPr>
          </w:p>
        </w:tc>
        <w:tc>
          <w:tcPr>
            <w:tcW w:w="5670" w:type="dxa"/>
          </w:tcPr>
          <w:p w:rsidR="006D18BE" w:rsidRPr="008F0D0D" w:rsidRDefault="006D18BE" w:rsidP="008F0D0D">
            <w:pPr>
              <w:rPr>
                <w:rFonts w:ascii="Times New Roman" w:hAnsi="Times New Roman" w:cs="Times New Roman"/>
                <w:sz w:val="20"/>
                <w:szCs w:val="20"/>
              </w:rPr>
            </w:pPr>
          </w:p>
        </w:tc>
        <w:tc>
          <w:tcPr>
            <w:tcW w:w="1134" w:type="dxa"/>
          </w:tcPr>
          <w:p w:rsidR="00217B8C" w:rsidRDefault="00217B8C" w:rsidP="00217B8C">
            <w:pPr>
              <w:rPr>
                <w:rFonts w:ascii="Times New Roman" w:hAnsi="Times New Roman" w:cs="Times New Roman"/>
                <w:b/>
                <w:sz w:val="20"/>
                <w:szCs w:val="20"/>
              </w:rPr>
            </w:pPr>
          </w:p>
        </w:tc>
      </w:tr>
    </w:tbl>
    <w:p w:rsidR="00EA167C" w:rsidRDefault="00EA167C" w:rsidP="00AC4440">
      <w:pPr>
        <w:rPr>
          <w:b/>
          <w:sz w:val="24"/>
          <w:szCs w:val="24"/>
          <w:u w:val="single"/>
        </w:rPr>
      </w:pPr>
    </w:p>
    <w:p w:rsidR="007A478D" w:rsidRDefault="007A478D" w:rsidP="00AC4440">
      <w:pPr>
        <w:rPr>
          <w:b/>
          <w:sz w:val="24"/>
          <w:szCs w:val="24"/>
          <w:u w:val="single"/>
        </w:rPr>
      </w:pPr>
    </w:p>
    <w:p w:rsidR="007A478D" w:rsidRDefault="007A478D" w:rsidP="00AC4440">
      <w:pPr>
        <w:rPr>
          <w:b/>
          <w:sz w:val="24"/>
          <w:szCs w:val="24"/>
          <w:u w:val="single"/>
        </w:rPr>
      </w:pPr>
    </w:p>
    <w:p w:rsidR="00670FD8" w:rsidRDefault="00670FD8" w:rsidP="00AC4440">
      <w:pPr>
        <w:rPr>
          <w:b/>
          <w:sz w:val="24"/>
          <w:szCs w:val="24"/>
          <w:u w:val="single"/>
        </w:rPr>
      </w:pPr>
    </w:p>
    <w:p w:rsidR="00AC4440" w:rsidRPr="00AC4440" w:rsidRDefault="00AC4440" w:rsidP="00AC4440">
      <w:pPr>
        <w:rPr>
          <w:b/>
          <w:sz w:val="24"/>
          <w:szCs w:val="24"/>
          <w:u w:val="single"/>
        </w:rPr>
      </w:pPr>
      <w:r w:rsidRPr="00AC4440">
        <w:rPr>
          <w:b/>
          <w:sz w:val="24"/>
          <w:szCs w:val="24"/>
          <w:u w:val="single"/>
        </w:rPr>
        <w:t xml:space="preserve">Assessor </w:t>
      </w:r>
    </w:p>
    <w:tbl>
      <w:tblPr>
        <w:tblStyle w:val="TableGrid"/>
        <w:tblW w:w="12724" w:type="dxa"/>
        <w:tblLook w:val="04A0" w:firstRow="1" w:lastRow="0" w:firstColumn="1" w:lastColumn="0" w:noHBand="0" w:noVBand="1"/>
      </w:tblPr>
      <w:tblGrid>
        <w:gridCol w:w="5778"/>
        <w:gridCol w:w="6946"/>
      </w:tblGrid>
      <w:tr w:rsidR="00AC4440" w:rsidTr="00610D95">
        <w:tc>
          <w:tcPr>
            <w:tcW w:w="5778" w:type="dxa"/>
          </w:tcPr>
          <w:p w:rsidR="00AC4440" w:rsidRPr="00AC4440" w:rsidRDefault="00AC4440" w:rsidP="00610D95">
            <w:r w:rsidRPr="00AC4440">
              <w:t>Name of Person Writing this Assessment:</w:t>
            </w:r>
          </w:p>
        </w:tc>
        <w:tc>
          <w:tcPr>
            <w:tcW w:w="6946" w:type="dxa"/>
          </w:tcPr>
          <w:p w:rsidR="00AC4440" w:rsidRPr="00AC4440" w:rsidRDefault="00AC4440" w:rsidP="00610D95"/>
        </w:tc>
      </w:tr>
      <w:tr w:rsidR="00AC4440" w:rsidTr="00610D95">
        <w:tc>
          <w:tcPr>
            <w:tcW w:w="5778" w:type="dxa"/>
          </w:tcPr>
          <w:p w:rsidR="00AC4440" w:rsidRPr="00AC4440" w:rsidRDefault="00AC4440" w:rsidP="00610D95">
            <w:r w:rsidRPr="00AC4440">
              <w:t>Position within Company or Name of Authorised Agent:</w:t>
            </w:r>
          </w:p>
        </w:tc>
        <w:tc>
          <w:tcPr>
            <w:tcW w:w="6946" w:type="dxa"/>
          </w:tcPr>
          <w:p w:rsidR="00AC4440" w:rsidRPr="00AC4440" w:rsidRDefault="00AC4440" w:rsidP="00610D95"/>
        </w:tc>
      </w:tr>
      <w:tr w:rsidR="00AC4440" w:rsidTr="00610D95">
        <w:tc>
          <w:tcPr>
            <w:tcW w:w="5778" w:type="dxa"/>
          </w:tcPr>
          <w:p w:rsidR="00AC4440" w:rsidRPr="00AC4440" w:rsidRDefault="00AC4440" w:rsidP="00610D95">
            <w:r w:rsidRPr="00AC4440">
              <w:t>Date that Original Assessment was Written</w:t>
            </w:r>
            <w:r w:rsidR="000B5BFC">
              <w:t>:</w:t>
            </w:r>
          </w:p>
        </w:tc>
        <w:tc>
          <w:tcPr>
            <w:tcW w:w="6946" w:type="dxa"/>
          </w:tcPr>
          <w:p w:rsidR="00AC4440" w:rsidRPr="00AC4440" w:rsidRDefault="00AC4440" w:rsidP="00610D95"/>
        </w:tc>
      </w:tr>
    </w:tbl>
    <w:p w:rsidR="00AC4440" w:rsidRDefault="00AC4440" w:rsidP="00AC4440">
      <w:pPr>
        <w:pStyle w:val="NoSpacing"/>
        <w:rPr>
          <w:b/>
          <w:sz w:val="24"/>
          <w:szCs w:val="24"/>
          <w:u w:val="single"/>
        </w:rPr>
      </w:pPr>
    </w:p>
    <w:p w:rsidR="00A04A31" w:rsidRPr="006001CA" w:rsidRDefault="00A04A31" w:rsidP="009D145F">
      <w:pPr>
        <w:jc w:val="right"/>
        <w:rPr>
          <w:rFonts w:ascii="Times New Roman" w:hAnsi="Times New Roman" w:cs="Times New Roman"/>
          <w:sz w:val="24"/>
          <w:szCs w:val="24"/>
        </w:rPr>
      </w:pPr>
    </w:p>
    <w:sectPr w:rsidR="00A04A31" w:rsidRPr="006001CA" w:rsidSect="006531D0">
      <w:headerReference w:type="default" r:id="rId9"/>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DC" w:rsidRDefault="008D2ADC" w:rsidP="00E94268">
      <w:pPr>
        <w:spacing w:after="0" w:line="240" w:lineRule="auto"/>
      </w:pPr>
      <w:r>
        <w:separator/>
      </w:r>
    </w:p>
  </w:endnote>
  <w:endnote w:type="continuationSeparator" w:id="0">
    <w:p w:rsidR="008D2ADC" w:rsidRDefault="008D2ADC" w:rsidP="00E9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DC" w:rsidRDefault="008D2ADC" w:rsidP="00E94268">
      <w:pPr>
        <w:spacing w:after="0" w:line="240" w:lineRule="auto"/>
      </w:pPr>
      <w:r>
        <w:separator/>
      </w:r>
    </w:p>
  </w:footnote>
  <w:footnote w:type="continuationSeparator" w:id="0">
    <w:p w:rsidR="008D2ADC" w:rsidRDefault="008D2ADC" w:rsidP="00E94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6B" w:rsidRPr="00FD5E5C" w:rsidRDefault="00A74D0E" w:rsidP="006531D0">
    <w:pPr>
      <w:pStyle w:val="Header"/>
      <w:jc w:val="center"/>
      <w:rPr>
        <w:sz w:val="36"/>
        <w:szCs w:val="36"/>
      </w:rPr>
    </w:pPr>
    <w:r>
      <w:rPr>
        <w:sz w:val="36"/>
        <w:szCs w:val="36"/>
      </w:rPr>
      <w:t xml:space="preserve">GAMBLING </w:t>
    </w:r>
    <w:r w:rsidR="00F037AC">
      <w:rPr>
        <w:sz w:val="36"/>
        <w:szCs w:val="36"/>
      </w:rPr>
      <w:t xml:space="preserve">ACT 2005 </w:t>
    </w:r>
    <w:r>
      <w:rPr>
        <w:sz w:val="36"/>
        <w:szCs w:val="36"/>
      </w:rPr>
      <w:t xml:space="preserve">- </w:t>
    </w:r>
    <w:r w:rsidR="00063F6B">
      <w:rPr>
        <w:sz w:val="36"/>
        <w:szCs w:val="36"/>
      </w:rPr>
      <w:t>LOCAL</w:t>
    </w:r>
    <w:r w:rsidR="00A04A56">
      <w:rPr>
        <w:sz w:val="36"/>
        <w:szCs w:val="36"/>
      </w:rPr>
      <w:t xml:space="preserve"> RISK ASSESSMENT</w:t>
    </w:r>
    <w:r w:rsidR="00812A71">
      <w:rPr>
        <w:sz w:val="36"/>
        <w:szCs w:val="36"/>
      </w:rPr>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6CB8"/>
    <w:multiLevelType w:val="hybridMultilevel"/>
    <w:tmpl w:val="43E4E51A"/>
    <w:lvl w:ilvl="0" w:tplc="E66088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2210F"/>
    <w:multiLevelType w:val="hybridMultilevel"/>
    <w:tmpl w:val="6F603820"/>
    <w:lvl w:ilvl="0" w:tplc="93BACF40">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FFF5EC2"/>
    <w:multiLevelType w:val="hybridMultilevel"/>
    <w:tmpl w:val="5028A952"/>
    <w:lvl w:ilvl="0" w:tplc="54A2336E">
      <w:start w:val="201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D9129D"/>
    <w:multiLevelType w:val="hybridMultilevel"/>
    <w:tmpl w:val="78D06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A904B4F"/>
    <w:multiLevelType w:val="hybridMultilevel"/>
    <w:tmpl w:val="7D581A6A"/>
    <w:lvl w:ilvl="0" w:tplc="0809000B">
      <w:start w:val="1"/>
      <w:numFmt w:val="bullet"/>
      <w:lvlText w:val=""/>
      <w:lvlJc w:val="left"/>
      <w:pPr>
        <w:ind w:left="698" w:hanging="360"/>
      </w:pPr>
      <w:rPr>
        <w:rFonts w:ascii="Wingdings" w:hAnsi="Wingdings"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5">
    <w:nsid w:val="549051D3"/>
    <w:multiLevelType w:val="hybridMultilevel"/>
    <w:tmpl w:val="0E869844"/>
    <w:lvl w:ilvl="0" w:tplc="6C8822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F1F644E"/>
    <w:multiLevelType w:val="hybridMultilevel"/>
    <w:tmpl w:val="70587F58"/>
    <w:lvl w:ilvl="0" w:tplc="C6B48BEA">
      <w:start w:val="1"/>
      <w:numFmt w:val="upperLetter"/>
      <w:lvlText w:val="(%1)"/>
      <w:lvlJc w:val="left"/>
      <w:pPr>
        <w:ind w:left="1440" w:hanging="360"/>
      </w:pPr>
      <w:rPr>
        <w:rFonts w:asciiTheme="minorHAnsi" w:eastAsiaTheme="minorHAnsi" w:hAnsiTheme="minorHAnsi" w:cstheme="minorHAns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7806AE9"/>
    <w:multiLevelType w:val="hybridMultilevel"/>
    <w:tmpl w:val="5FEC65C4"/>
    <w:lvl w:ilvl="0" w:tplc="32881524">
      <w:start w:val="201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597FD0"/>
    <w:multiLevelType w:val="hybridMultilevel"/>
    <w:tmpl w:val="1340F1B6"/>
    <w:lvl w:ilvl="0" w:tplc="531CBD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831105"/>
    <w:multiLevelType w:val="hybridMultilevel"/>
    <w:tmpl w:val="68A85AB4"/>
    <w:lvl w:ilvl="0" w:tplc="0809000B">
      <w:start w:val="1"/>
      <w:numFmt w:val="bullet"/>
      <w:lvlText w:val=""/>
      <w:lvlJc w:val="left"/>
      <w:pPr>
        <w:ind w:left="1440" w:hanging="360"/>
      </w:pPr>
      <w:rPr>
        <w:rFonts w:ascii="Wingdings" w:hAnsi="Wingdings" w:hint="default"/>
        <w:b w:val="0"/>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FD42EC0"/>
    <w:multiLevelType w:val="hybridMultilevel"/>
    <w:tmpl w:val="93246D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10"/>
  </w:num>
  <w:num w:numId="4">
    <w:abstractNumId w:val="3"/>
  </w:num>
  <w:num w:numId="5">
    <w:abstractNumId w:val="9"/>
  </w:num>
  <w:num w:numId="6">
    <w:abstractNumId w:val="4"/>
  </w:num>
  <w:num w:numId="7">
    <w:abstractNumId w:val="1"/>
  </w:num>
  <w:num w:numId="8">
    <w:abstractNumId w:val="6"/>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42"/>
    <w:rsid w:val="00032EB7"/>
    <w:rsid w:val="00034581"/>
    <w:rsid w:val="00063F6B"/>
    <w:rsid w:val="000B256C"/>
    <w:rsid w:val="000B5BFC"/>
    <w:rsid w:val="000D4EF7"/>
    <w:rsid w:val="0010321C"/>
    <w:rsid w:val="00103D1F"/>
    <w:rsid w:val="00107AF4"/>
    <w:rsid w:val="00147D04"/>
    <w:rsid w:val="001600B7"/>
    <w:rsid w:val="0017395E"/>
    <w:rsid w:val="001A0A29"/>
    <w:rsid w:val="001C0A96"/>
    <w:rsid w:val="001D1AA8"/>
    <w:rsid w:val="001D6753"/>
    <w:rsid w:val="001F1132"/>
    <w:rsid w:val="00217B8C"/>
    <w:rsid w:val="00233C7F"/>
    <w:rsid w:val="00246219"/>
    <w:rsid w:val="00254A34"/>
    <w:rsid w:val="00261F30"/>
    <w:rsid w:val="002D5F4D"/>
    <w:rsid w:val="002F02A5"/>
    <w:rsid w:val="00326032"/>
    <w:rsid w:val="00327698"/>
    <w:rsid w:val="0035623F"/>
    <w:rsid w:val="00361D42"/>
    <w:rsid w:val="003825B7"/>
    <w:rsid w:val="00383F65"/>
    <w:rsid w:val="003A2A50"/>
    <w:rsid w:val="003A549A"/>
    <w:rsid w:val="003C7F34"/>
    <w:rsid w:val="00407942"/>
    <w:rsid w:val="00416F05"/>
    <w:rsid w:val="004433CD"/>
    <w:rsid w:val="00490FD9"/>
    <w:rsid w:val="004A6379"/>
    <w:rsid w:val="004B1ACB"/>
    <w:rsid w:val="004C18E0"/>
    <w:rsid w:val="004E411A"/>
    <w:rsid w:val="004E627B"/>
    <w:rsid w:val="00503A02"/>
    <w:rsid w:val="005042BF"/>
    <w:rsid w:val="005078C6"/>
    <w:rsid w:val="00526DAA"/>
    <w:rsid w:val="00544FB0"/>
    <w:rsid w:val="00587912"/>
    <w:rsid w:val="005946C2"/>
    <w:rsid w:val="0059633D"/>
    <w:rsid w:val="005F524C"/>
    <w:rsid w:val="00600011"/>
    <w:rsid w:val="006001CA"/>
    <w:rsid w:val="00611D27"/>
    <w:rsid w:val="00636B96"/>
    <w:rsid w:val="00637B4F"/>
    <w:rsid w:val="00641761"/>
    <w:rsid w:val="006531D0"/>
    <w:rsid w:val="00670FD8"/>
    <w:rsid w:val="00694EDD"/>
    <w:rsid w:val="006B3E04"/>
    <w:rsid w:val="006B5ED9"/>
    <w:rsid w:val="006D18BE"/>
    <w:rsid w:val="0070487F"/>
    <w:rsid w:val="00710E38"/>
    <w:rsid w:val="00716BB9"/>
    <w:rsid w:val="00720795"/>
    <w:rsid w:val="007242C8"/>
    <w:rsid w:val="00724924"/>
    <w:rsid w:val="00745A78"/>
    <w:rsid w:val="00784DE4"/>
    <w:rsid w:val="00785DDB"/>
    <w:rsid w:val="007A478D"/>
    <w:rsid w:val="007E0DE6"/>
    <w:rsid w:val="00810416"/>
    <w:rsid w:val="00812A71"/>
    <w:rsid w:val="008141A4"/>
    <w:rsid w:val="0081546D"/>
    <w:rsid w:val="00833429"/>
    <w:rsid w:val="00837C4F"/>
    <w:rsid w:val="00870AA6"/>
    <w:rsid w:val="008B0963"/>
    <w:rsid w:val="008B0D6C"/>
    <w:rsid w:val="008D1000"/>
    <w:rsid w:val="008D2ADC"/>
    <w:rsid w:val="008F0D0D"/>
    <w:rsid w:val="008F241D"/>
    <w:rsid w:val="00903043"/>
    <w:rsid w:val="00980A33"/>
    <w:rsid w:val="0099007F"/>
    <w:rsid w:val="0099033F"/>
    <w:rsid w:val="009932EF"/>
    <w:rsid w:val="0099669B"/>
    <w:rsid w:val="009A09D1"/>
    <w:rsid w:val="009D145F"/>
    <w:rsid w:val="009F4314"/>
    <w:rsid w:val="00A04A31"/>
    <w:rsid w:val="00A04A56"/>
    <w:rsid w:val="00A067C5"/>
    <w:rsid w:val="00A1295C"/>
    <w:rsid w:val="00A53D3C"/>
    <w:rsid w:val="00A74D0E"/>
    <w:rsid w:val="00A968A0"/>
    <w:rsid w:val="00AC2CB8"/>
    <w:rsid w:val="00AC4440"/>
    <w:rsid w:val="00B01996"/>
    <w:rsid w:val="00B27724"/>
    <w:rsid w:val="00B53C3B"/>
    <w:rsid w:val="00BF7993"/>
    <w:rsid w:val="00C022F5"/>
    <w:rsid w:val="00C55480"/>
    <w:rsid w:val="00C6423C"/>
    <w:rsid w:val="00C72DA1"/>
    <w:rsid w:val="00C92CE6"/>
    <w:rsid w:val="00CB3112"/>
    <w:rsid w:val="00CB4FE8"/>
    <w:rsid w:val="00CD7AEB"/>
    <w:rsid w:val="00D11280"/>
    <w:rsid w:val="00D40C50"/>
    <w:rsid w:val="00D4303C"/>
    <w:rsid w:val="00D75E57"/>
    <w:rsid w:val="00D93291"/>
    <w:rsid w:val="00DF1D26"/>
    <w:rsid w:val="00DF2413"/>
    <w:rsid w:val="00E119EB"/>
    <w:rsid w:val="00E501DF"/>
    <w:rsid w:val="00E5304E"/>
    <w:rsid w:val="00E65895"/>
    <w:rsid w:val="00E8028D"/>
    <w:rsid w:val="00E94268"/>
    <w:rsid w:val="00EA167C"/>
    <w:rsid w:val="00EA4668"/>
    <w:rsid w:val="00ED2847"/>
    <w:rsid w:val="00EE58FE"/>
    <w:rsid w:val="00EF3E24"/>
    <w:rsid w:val="00F037AC"/>
    <w:rsid w:val="00F14C4F"/>
    <w:rsid w:val="00F218AF"/>
    <w:rsid w:val="00F62317"/>
    <w:rsid w:val="00F6400D"/>
    <w:rsid w:val="00F850AA"/>
    <w:rsid w:val="00FD5E5C"/>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42"/>
    <w:rPr>
      <w:rFonts w:ascii="Tahoma" w:hAnsi="Tahoma" w:cs="Tahoma"/>
      <w:sz w:val="16"/>
      <w:szCs w:val="16"/>
    </w:rPr>
  </w:style>
  <w:style w:type="table" w:styleId="TableGrid">
    <w:name w:val="Table Grid"/>
    <w:basedOn w:val="TableNormal"/>
    <w:uiPriority w:val="59"/>
    <w:rsid w:val="0040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68"/>
  </w:style>
  <w:style w:type="paragraph" w:styleId="Footer">
    <w:name w:val="footer"/>
    <w:basedOn w:val="Normal"/>
    <w:link w:val="FooterChar"/>
    <w:uiPriority w:val="99"/>
    <w:unhideWhenUsed/>
    <w:rsid w:val="00E94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68"/>
  </w:style>
  <w:style w:type="paragraph" w:styleId="NoSpacing">
    <w:name w:val="No Spacing"/>
    <w:uiPriority w:val="1"/>
    <w:qFormat/>
    <w:rsid w:val="00D40C50"/>
    <w:pPr>
      <w:spacing w:after="0" w:line="240" w:lineRule="auto"/>
    </w:pPr>
  </w:style>
  <w:style w:type="paragraph" w:styleId="ListParagraph">
    <w:name w:val="List Paragraph"/>
    <w:basedOn w:val="Normal"/>
    <w:uiPriority w:val="34"/>
    <w:qFormat/>
    <w:rsid w:val="008141A4"/>
    <w:pPr>
      <w:ind w:left="720"/>
      <w:contextualSpacing/>
    </w:pPr>
  </w:style>
  <w:style w:type="character" w:styleId="Hyperlink">
    <w:name w:val="Hyperlink"/>
    <w:basedOn w:val="DefaultParagraphFont"/>
    <w:uiPriority w:val="99"/>
    <w:unhideWhenUsed/>
    <w:rsid w:val="00383F65"/>
    <w:rPr>
      <w:color w:val="0000FF" w:themeColor="hyperlink"/>
      <w:u w:val="single"/>
    </w:rPr>
  </w:style>
  <w:style w:type="character" w:styleId="FollowedHyperlink">
    <w:name w:val="FollowedHyperlink"/>
    <w:basedOn w:val="DefaultParagraphFont"/>
    <w:uiPriority w:val="99"/>
    <w:semiHidden/>
    <w:unhideWhenUsed/>
    <w:rsid w:val="00600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42"/>
    <w:rPr>
      <w:rFonts w:ascii="Tahoma" w:hAnsi="Tahoma" w:cs="Tahoma"/>
      <w:sz w:val="16"/>
      <w:szCs w:val="16"/>
    </w:rPr>
  </w:style>
  <w:style w:type="table" w:styleId="TableGrid">
    <w:name w:val="Table Grid"/>
    <w:basedOn w:val="TableNormal"/>
    <w:uiPriority w:val="59"/>
    <w:rsid w:val="0040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68"/>
  </w:style>
  <w:style w:type="paragraph" w:styleId="Footer">
    <w:name w:val="footer"/>
    <w:basedOn w:val="Normal"/>
    <w:link w:val="FooterChar"/>
    <w:uiPriority w:val="99"/>
    <w:unhideWhenUsed/>
    <w:rsid w:val="00E94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68"/>
  </w:style>
  <w:style w:type="paragraph" w:styleId="NoSpacing">
    <w:name w:val="No Spacing"/>
    <w:uiPriority w:val="1"/>
    <w:qFormat/>
    <w:rsid w:val="00D40C50"/>
    <w:pPr>
      <w:spacing w:after="0" w:line="240" w:lineRule="auto"/>
    </w:pPr>
  </w:style>
  <w:style w:type="paragraph" w:styleId="ListParagraph">
    <w:name w:val="List Paragraph"/>
    <w:basedOn w:val="Normal"/>
    <w:uiPriority w:val="34"/>
    <w:qFormat/>
    <w:rsid w:val="008141A4"/>
    <w:pPr>
      <w:ind w:left="720"/>
      <w:contextualSpacing/>
    </w:pPr>
  </w:style>
  <w:style w:type="character" w:styleId="Hyperlink">
    <w:name w:val="Hyperlink"/>
    <w:basedOn w:val="DefaultParagraphFont"/>
    <w:uiPriority w:val="99"/>
    <w:unhideWhenUsed/>
    <w:rsid w:val="00383F65"/>
    <w:rPr>
      <w:color w:val="0000FF" w:themeColor="hyperlink"/>
      <w:u w:val="single"/>
    </w:rPr>
  </w:style>
  <w:style w:type="character" w:styleId="FollowedHyperlink">
    <w:name w:val="FollowedHyperlink"/>
    <w:basedOn w:val="DefaultParagraphFont"/>
    <w:uiPriority w:val="99"/>
    <w:semiHidden/>
    <w:unhideWhenUsed/>
    <w:rsid w:val="00600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8010D-0189-4EC4-8FBE-97663E79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383</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LOCAL GAMBLING RISK ASSESSMENT</vt:lpstr>
    </vt:vector>
  </TitlesOfParts>
  <Company>South Tyneside Council</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GAMBLING RISK ASSESSMENT</dc:title>
  <dc:creator>Phil Silver</dc:creator>
  <cp:lastModifiedBy>Judith Carr</cp:lastModifiedBy>
  <cp:revision>2</cp:revision>
  <cp:lastPrinted>2018-02-14T11:35:00Z</cp:lastPrinted>
  <dcterms:created xsi:type="dcterms:W3CDTF">2018-07-17T07:39:00Z</dcterms:created>
  <dcterms:modified xsi:type="dcterms:W3CDTF">2018-07-17T07:39:00Z</dcterms:modified>
</cp:coreProperties>
</file>